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bidi w:val="0"/>
        <w:jc w:val="center"/>
        <w:rPr>
          <w:rFonts w:ascii="黑体" w:hAnsi="黑体" w:eastAsia="黑体" w:cs="宋体"/>
          <w:b/>
          <w:bCs/>
          <w:color w:val="000000"/>
          <w:kern w:val="0"/>
          <w:sz w:val="44"/>
          <w:szCs w:val="44"/>
        </w:rPr>
      </w:pPr>
    </w:p>
    <w:p>
      <w:pPr>
        <w:pStyle w:val="22"/>
        <w:widowControl/>
        <w:bidi w:val="0"/>
        <w:jc w:val="center"/>
        <w:rPr>
          <w:rFonts w:ascii="宋体" w:hAnsi="宋体" w:eastAsia="宋体" w:cs="宋体"/>
          <w:kern w:val="0"/>
          <w:sz w:val="24"/>
          <w:szCs w:val="24"/>
        </w:rPr>
      </w:pPr>
      <w:r>
        <w:rPr>
          <w:rFonts w:ascii="黑体" w:hAnsi="黑体" w:eastAsia="黑体" w:cs="宋体"/>
          <w:b/>
          <w:bCs/>
          <w:color w:val="000000"/>
          <w:kern w:val="0"/>
          <w:sz w:val="44"/>
          <w:szCs w:val="44"/>
        </w:rPr>
        <w:t>聊城大学</w:t>
      </w:r>
    </w:p>
    <w:p>
      <w:pPr>
        <w:pStyle w:val="22"/>
        <w:widowControl/>
        <w:bidi w:val="0"/>
        <w:jc w:val="center"/>
        <w:rPr>
          <w:rFonts w:ascii="黑体" w:hAnsi="黑体" w:eastAsia="黑体" w:cs="宋体"/>
          <w:b/>
          <w:bCs/>
          <w:color w:val="000000"/>
          <w:kern w:val="0"/>
          <w:sz w:val="44"/>
          <w:szCs w:val="44"/>
        </w:rPr>
      </w:pPr>
      <w:r>
        <w:rPr>
          <w:rFonts w:ascii="黑体" w:hAnsi="黑体" w:eastAsia="黑体" w:cs="宋体"/>
          <w:b/>
          <w:bCs/>
          <w:color w:val="000000"/>
          <w:kern w:val="0"/>
          <w:sz w:val="44"/>
          <w:szCs w:val="44"/>
        </w:rPr>
        <w:t>财务工作</w:t>
      </w:r>
      <w:r>
        <w:rPr>
          <w:rFonts w:hint="eastAsia" w:ascii="黑体" w:hAnsi="黑体" w:eastAsia="黑体" w:cs="宋体"/>
          <w:b/>
          <w:bCs/>
          <w:color w:val="000000"/>
          <w:kern w:val="0"/>
          <w:sz w:val="44"/>
          <w:szCs w:val="44"/>
          <w:lang w:val="en-US" w:eastAsia="zh-CN"/>
        </w:rPr>
        <w:t>服务</w:t>
      </w:r>
      <w:r>
        <w:rPr>
          <w:rFonts w:ascii="黑体" w:hAnsi="黑体" w:eastAsia="黑体" w:cs="宋体"/>
          <w:b/>
          <w:bCs/>
          <w:color w:val="000000"/>
          <w:kern w:val="0"/>
          <w:sz w:val="44"/>
          <w:szCs w:val="44"/>
        </w:rPr>
        <w:t>指南</w:t>
      </w:r>
    </w:p>
    <w:p>
      <w:pPr>
        <w:pStyle w:val="22"/>
        <w:widowControl/>
        <w:bidi w:val="0"/>
        <w:jc w:val="center"/>
        <w:rPr>
          <w:rFonts w:ascii="黑体" w:hAnsi="黑体" w:eastAsia="黑体" w:cs="宋体"/>
          <w:b/>
          <w:bCs/>
          <w:color w:val="000000"/>
          <w:kern w:val="0"/>
          <w:sz w:val="44"/>
          <w:szCs w:val="44"/>
        </w:rPr>
      </w:pPr>
    </w:p>
    <w:p>
      <w:pPr>
        <w:pStyle w:val="22"/>
        <w:widowControl/>
        <w:bidi w:val="0"/>
        <w:jc w:val="center"/>
        <w:rPr>
          <w:rFonts w:ascii="宋体" w:hAnsi="宋体" w:eastAsia="宋体" w:cs="宋体"/>
          <w:kern w:val="0"/>
          <w:sz w:val="24"/>
          <w:szCs w:val="24"/>
        </w:rPr>
      </w:pPr>
    </w:p>
    <w:p>
      <w:pPr>
        <w:pStyle w:val="22"/>
        <w:widowControl/>
        <w:bidi w:val="0"/>
        <w:jc w:val="center"/>
        <w:rPr>
          <w:rFonts w:ascii="宋体" w:hAnsi="宋体" w:eastAsia="宋体" w:cs="宋体"/>
          <w:kern w:val="0"/>
          <w:sz w:val="24"/>
          <w:szCs w:val="24"/>
        </w:rPr>
      </w:pPr>
    </w:p>
    <w:p>
      <w:pPr>
        <w:pStyle w:val="22"/>
        <w:widowControl/>
        <w:bidi w:val="0"/>
        <w:jc w:val="center"/>
        <w:rPr>
          <w:rFonts w:ascii="宋体" w:hAnsi="宋体" w:eastAsia="宋体" w:cs="宋体"/>
          <w:kern w:val="0"/>
          <w:sz w:val="24"/>
          <w:szCs w:val="24"/>
        </w:rPr>
      </w:pPr>
      <w:r>
        <w:rPr>
          <w:rFonts w:ascii="宋体" w:hAnsi="宋体" w:eastAsia="宋体" w:cs="宋体"/>
          <w:b w:val="0"/>
          <w:bCs w:val="0"/>
          <w:color w:val="000000"/>
          <w:kern w:val="0"/>
          <w:sz w:val="24"/>
          <w:szCs w:val="24"/>
        </w:rPr>
        <w:t>财务处网站网址:</w:t>
      </w:r>
    </w:p>
    <w:p>
      <w:pPr>
        <w:pStyle w:val="22"/>
        <w:widowControl/>
        <w:bidi w:val="0"/>
        <w:jc w:val="center"/>
        <w:rPr>
          <w:rStyle w:val="21"/>
          <w:rFonts w:ascii="宋体" w:hAnsi="宋体" w:eastAsia="宋体" w:cs="宋体"/>
          <w:b w:val="0"/>
          <w:bCs w:val="0"/>
          <w:color w:val="0000FF"/>
          <w:kern w:val="0"/>
          <w:sz w:val="24"/>
          <w:szCs w:val="24"/>
        </w:rPr>
      </w:pPr>
      <w:r>
        <w:rPr>
          <w:rFonts w:ascii="宋体" w:hAnsi="宋体" w:eastAsia="宋体" w:cs="宋体"/>
          <w:b w:val="0"/>
          <w:bCs w:val="0"/>
          <w:color w:val="0000FF"/>
          <w:kern w:val="0"/>
          <w:sz w:val="24"/>
          <w:szCs w:val="24"/>
        </w:rPr>
        <w:t xml:space="preserve"> </w:t>
      </w:r>
      <w:r>
        <w:rPr>
          <w:rStyle w:val="21"/>
          <w:rFonts w:ascii="宋体" w:hAnsi="宋体" w:eastAsia="宋体" w:cs="宋体"/>
          <w:b w:val="0"/>
          <w:bCs w:val="0"/>
          <w:color w:val="0000FF"/>
          <w:kern w:val="0"/>
          <w:sz w:val="24"/>
          <w:szCs w:val="24"/>
        </w:rPr>
        <w:fldChar w:fldCharType="begin"/>
      </w:r>
      <w:r>
        <w:rPr>
          <w:rStyle w:val="21"/>
          <w:rFonts w:ascii="宋体" w:hAnsi="宋体" w:eastAsia="宋体" w:cs="宋体"/>
          <w:b w:val="0"/>
          <w:bCs w:val="0"/>
          <w:color w:val="0000FF"/>
          <w:kern w:val="0"/>
          <w:sz w:val="24"/>
          <w:szCs w:val="24"/>
        </w:rPr>
        <w:instrText xml:space="preserve"> HYPERLINK "http://cwc.lcu.edu.cn" </w:instrText>
      </w:r>
      <w:r>
        <w:rPr>
          <w:rStyle w:val="21"/>
          <w:rFonts w:ascii="宋体" w:hAnsi="宋体" w:eastAsia="宋体" w:cs="宋体"/>
          <w:b w:val="0"/>
          <w:bCs w:val="0"/>
          <w:color w:val="0000FF"/>
          <w:kern w:val="0"/>
          <w:sz w:val="24"/>
          <w:szCs w:val="24"/>
        </w:rPr>
        <w:fldChar w:fldCharType="separate"/>
      </w:r>
      <w:r>
        <w:rPr>
          <w:rStyle w:val="19"/>
          <w:rFonts w:ascii="宋体" w:hAnsi="宋体" w:eastAsia="宋体" w:cs="宋体"/>
          <w:b w:val="0"/>
          <w:bCs w:val="0"/>
          <w:color w:val="0000FF"/>
          <w:kern w:val="0"/>
          <w:sz w:val="24"/>
          <w:szCs w:val="24"/>
        </w:rPr>
        <w:t>http://cwc.lcu.edu.cn</w:t>
      </w:r>
      <w:r>
        <w:rPr>
          <w:rStyle w:val="21"/>
          <w:rFonts w:ascii="宋体" w:hAnsi="宋体" w:eastAsia="宋体" w:cs="宋体"/>
          <w:b w:val="0"/>
          <w:bCs w:val="0"/>
          <w:color w:val="0000FF"/>
          <w:kern w:val="0"/>
          <w:sz w:val="24"/>
          <w:szCs w:val="24"/>
        </w:rPr>
        <w:fldChar w:fldCharType="end"/>
      </w:r>
    </w:p>
    <w:p>
      <w:pPr>
        <w:pStyle w:val="22"/>
        <w:widowControl/>
        <w:bidi w:val="0"/>
        <w:jc w:val="center"/>
        <w:rPr>
          <w:rStyle w:val="21"/>
          <w:rFonts w:ascii="宋体" w:hAnsi="宋体" w:eastAsia="宋体" w:cs="宋体"/>
          <w:b w:val="0"/>
          <w:bCs w:val="0"/>
          <w:color w:val="000000"/>
          <w:kern w:val="0"/>
          <w:sz w:val="24"/>
          <w:szCs w:val="24"/>
        </w:rPr>
      </w:pPr>
    </w:p>
    <w:p>
      <w:pPr>
        <w:pStyle w:val="22"/>
        <w:widowControl/>
        <w:bidi w:val="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财务报销、经费查询登录网址：</w:t>
      </w:r>
    </w:p>
    <w:p>
      <w:pPr>
        <w:pStyle w:val="22"/>
        <w:widowControl/>
        <w:bidi w:val="0"/>
        <w:jc w:val="center"/>
        <w:rPr>
          <w:rStyle w:val="21"/>
          <w:rFonts w:hint="eastAsia" w:ascii="宋体" w:hAnsi="宋体" w:eastAsia="宋体" w:cs="宋体"/>
          <w:b w:val="0"/>
          <w:bCs w:val="0"/>
          <w:color w:val="0000FF"/>
          <w:kern w:val="0"/>
          <w:sz w:val="24"/>
          <w:szCs w:val="24"/>
        </w:rPr>
      </w:pPr>
      <w:r>
        <w:rPr>
          <w:rStyle w:val="21"/>
          <w:rFonts w:hint="eastAsia" w:ascii="宋体" w:hAnsi="宋体" w:eastAsia="宋体" w:cs="宋体"/>
          <w:b w:val="0"/>
          <w:bCs w:val="0"/>
          <w:color w:val="0000FF"/>
          <w:kern w:val="0"/>
          <w:sz w:val="24"/>
          <w:szCs w:val="24"/>
        </w:rPr>
        <w:fldChar w:fldCharType="begin"/>
      </w:r>
      <w:r>
        <w:rPr>
          <w:rStyle w:val="21"/>
          <w:rFonts w:hint="eastAsia" w:ascii="宋体" w:hAnsi="宋体" w:eastAsia="宋体" w:cs="宋体"/>
          <w:b w:val="0"/>
          <w:bCs w:val="0"/>
          <w:color w:val="0000FF"/>
          <w:kern w:val="0"/>
          <w:sz w:val="24"/>
          <w:szCs w:val="24"/>
        </w:rPr>
        <w:instrText xml:space="preserve"> HYPERLINK "http://sso.lcu.edu.cn/tpass/login" </w:instrText>
      </w:r>
      <w:r>
        <w:rPr>
          <w:rStyle w:val="21"/>
          <w:rFonts w:hint="eastAsia" w:ascii="宋体" w:hAnsi="宋体" w:eastAsia="宋体" w:cs="宋体"/>
          <w:b w:val="0"/>
          <w:bCs w:val="0"/>
          <w:color w:val="0000FF"/>
          <w:kern w:val="0"/>
          <w:sz w:val="24"/>
          <w:szCs w:val="24"/>
        </w:rPr>
        <w:fldChar w:fldCharType="separate"/>
      </w:r>
      <w:r>
        <w:rPr>
          <w:rStyle w:val="19"/>
          <w:rFonts w:hint="eastAsia" w:ascii="宋体" w:hAnsi="宋体" w:eastAsia="宋体" w:cs="宋体"/>
          <w:b w:val="0"/>
          <w:bCs w:val="0"/>
          <w:color w:val="0000FF"/>
          <w:kern w:val="0"/>
          <w:sz w:val="24"/>
          <w:szCs w:val="24"/>
        </w:rPr>
        <w:t>http://sso.lcu.edu.cn/tpass/login</w:t>
      </w:r>
      <w:r>
        <w:rPr>
          <w:rStyle w:val="21"/>
          <w:rFonts w:hint="eastAsia" w:ascii="宋体" w:hAnsi="宋体" w:eastAsia="宋体" w:cs="宋体"/>
          <w:b w:val="0"/>
          <w:bCs w:val="0"/>
          <w:color w:val="0000FF"/>
          <w:kern w:val="0"/>
          <w:sz w:val="24"/>
          <w:szCs w:val="24"/>
        </w:rPr>
        <w:fldChar w:fldCharType="end"/>
      </w:r>
    </w:p>
    <w:p>
      <w:pPr>
        <w:pStyle w:val="22"/>
        <w:widowControl/>
        <w:bidi w:val="0"/>
        <w:jc w:val="center"/>
        <w:rPr>
          <w:rStyle w:val="21"/>
          <w:rFonts w:hint="eastAsia" w:ascii="宋体" w:hAnsi="宋体" w:eastAsia="宋体" w:cs="宋体"/>
          <w:b w:val="0"/>
          <w:bCs w:val="0"/>
          <w:color w:val="000000"/>
          <w:kern w:val="0"/>
          <w:sz w:val="24"/>
          <w:szCs w:val="24"/>
        </w:rPr>
      </w:pPr>
    </w:p>
    <w:p>
      <w:pPr>
        <w:pStyle w:val="22"/>
        <w:widowControl/>
        <w:bidi w:val="0"/>
        <w:jc w:val="center"/>
        <w:rPr>
          <w:rStyle w:val="21"/>
          <w:rFonts w:hint="eastAsia" w:ascii="宋体" w:hAnsi="宋体" w:eastAsia="宋体" w:cs="宋体"/>
          <w:b w:val="0"/>
          <w:bCs w:val="0"/>
          <w:color w:val="000000"/>
          <w:kern w:val="0"/>
          <w:sz w:val="24"/>
          <w:szCs w:val="24"/>
          <w:u w:val="none"/>
          <w:lang w:val="en-US" w:eastAsia="zh-CN"/>
        </w:rPr>
      </w:pPr>
      <w:r>
        <w:rPr>
          <w:rStyle w:val="21"/>
          <w:rFonts w:hint="eastAsia" w:ascii="宋体" w:hAnsi="宋体" w:eastAsia="宋体" w:cs="宋体"/>
          <w:b w:val="0"/>
          <w:bCs w:val="0"/>
          <w:color w:val="000000"/>
          <w:kern w:val="0"/>
          <w:sz w:val="24"/>
          <w:szCs w:val="24"/>
          <w:u w:val="none"/>
          <w:lang w:val="en-US" w:eastAsia="zh-CN"/>
        </w:rPr>
        <w:t>工资查询登录网址：</w:t>
      </w:r>
    </w:p>
    <w:p>
      <w:pPr>
        <w:pStyle w:val="22"/>
        <w:widowControl/>
        <w:bidi w:val="0"/>
        <w:jc w:val="center"/>
        <w:rPr>
          <w:rStyle w:val="21"/>
          <w:rFonts w:hint="default" w:ascii="宋体" w:hAnsi="宋体" w:eastAsia="宋体" w:cs="宋体"/>
          <w:b w:val="0"/>
          <w:bCs w:val="0"/>
          <w:color w:val="0000FF"/>
          <w:kern w:val="0"/>
          <w:sz w:val="24"/>
          <w:szCs w:val="24"/>
          <w:lang w:val="en-US" w:eastAsia="zh-CN"/>
        </w:rPr>
      </w:pPr>
      <w:r>
        <w:rPr>
          <w:rStyle w:val="21"/>
          <w:rFonts w:hint="default" w:ascii="宋体" w:hAnsi="宋体" w:eastAsia="宋体" w:cs="宋体"/>
          <w:b w:val="0"/>
          <w:bCs w:val="0"/>
          <w:color w:val="0000FF"/>
          <w:kern w:val="0"/>
          <w:sz w:val="24"/>
          <w:szCs w:val="24"/>
          <w:lang w:val="en-US" w:eastAsia="zh-CN"/>
        </w:rPr>
        <w:fldChar w:fldCharType="begin"/>
      </w:r>
      <w:r>
        <w:rPr>
          <w:rStyle w:val="21"/>
          <w:rFonts w:hint="default" w:ascii="宋体" w:hAnsi="宋体" w:eastAsia="宋体" w:cs="宋体"/>
          <w:b w:val="0"/>
          <w:bCs w:val="0"/>
          <w:color w:val="0000FF"/>
          <w:kern w:val="0"/>
          <w:sz w:val="24"/>
          <w:szCs w:val="24"/>
          <w:lang w:val="en-US" w:eastAsia="zh-CN"/>
        </w:rPr>
        <w:instrText xml:space="preserve"> HYPERLINK "http://210.44.112.101/u8qx/Tindex.jsp" </w:instrText>
      </w:r>
      <w:r>
        <w:rPr>
          <w:rStyle w:val="21"/>
          <w:rFonts w:hint="default" w:ascii="宋体" w:hAnsi="宋体" w:eastAsia="宋体" w:cs="宋体"/>
          <w:b w:val="0"/>
          <w:bCs w:val="0"/>
          <w:color w:val="0000FF"/>
          <w:kern w:val="0"/>
          <w:sz w:val="24"/>
          <w:szCs w:val="24"/>
          <w:lang w:val="en-US" w:eastAsia="zh-CN"/>
        </w:rPr>
        <w:fldChar w:fldCharType="separate"/>
      </w:r>
      <w:r>
        <w:rPr>
          <w:rStyle w:val="19"/>
          <w:rFonts w:hint="default" w:ascii="宋体" w:hAnsi="宋体" w:eastAsia="宋体" w:cs="宋体"/>
          <w:b w:val="0"/>
          <w:bCs w:val="0"/>
          <w:color w:val="0000FF"/>
          <w:kern w:val="0"/>
          <w:sz w:val="24"/>
          <w:szCs w:val="24"/>
          <w:lang w:val="en-US" w:eastAsia="zh-CN"/>
        </w:rPr>
        <w:t>http://210.44.112.101/u8qx/Tindex.jsp</w:t>
      </w:r>
      <w:r>
        <w:rPr>
          <w:rStyle w:val="21"/>
          <w:rFonts w:hint="default" w:ascii="宋体" w:hAnsi="宋体" w:eastAsia="宋体" w:cs="宋体"/>
          <w:b w:val="0"/>
          <w:bCs w:val="0"/>
          <w:color w:val="0000FF"/>
          <w:kern w:val="0"/>
          <w:sz w:val="24"/>
          <w:szCs w:val="24"/>
          <w:lang w:val="en-US" w:eastAsia="zh-CN"/>
        </w:rPr>
        <w:fldChar w:fldCharType="end"/>
      </w:r>
    </w:p>
    <w:p>
      <w:pPr>
        <w:pStyle w:val="22"/>
        <w:widowControl/>
        <w:bidi w:val="0"/>
        <w:jc w:val="center"/>
        <w:rPr>
          <w:rStyle w:val="21"/>
          <w:rFonts w:hint="default" w:ascii="宋体" w:hAnsi="宋体" w:eastAsia="宋体" w:cs="宋体"/>
          <w:b w:val="0"/>
          <w:bCs w:val="0"/>
          <w:color w:val="0000FF"/>
          <w:kern w:val="0"/>
          <w:sz w:val="24"/>
          <w:szCs w:val="24"/>
          <w:lang w:val="en-US" w:eastAsia="zh-CN"/>
        </w:rPr>
      </w:pPr>
    </w:p>
    <w:p>
      <w:pPr>
        <w:pStyle w:val="22"/>
        <w:widowControl/>
        <w:bidi w:val="0"/>
        <w:jc w:val="center"/>
        <w:rPr>
          <w:rStyle w:val="21"/>
          <w:rFonts w:hint="eastAsia" w:ascii="宋体" w:hAnsi="宋体" w:eastAsia="宋体" w:cs="宋体"/>
          <w:b w:val="0"/>
          <w:bCs w:val="0"/>
          <w:color w:val="000000"/>
          <w:kern w:val="0"/>
          <w:sz w:val="24"/>
          <w:szCs w:val="24"/>
          <w:u w:val="none"/>
          <w:lang w:val="en-US" w:eastAsia="zh-CN"/>
        </w:rPr>
      </w:pPr>
      <w:r>
        <w:rPr>
          <w:rStyle w:val="21"/>
          <w:rFonts w:hint="eastAsia" w:ascii="宋体" w:hAnsi="宋体" w:eastAsia="宋体" w:cs="宋体"/>
          <w:b w:val="0"/>
          <w:bCs w:val="0"/>
          <w:color w:val="000000"/>
          <w:kern w:val="0"/>
          <w:sz w:val="24"/>
          <w:szCs w:val="24"/>
          <w:u w:val="none"/>
          <w:lang w:val="en-US" w:eastAsia="zh-CN"/>
        </w:rPr>
        <w:t>学生缴费登录网址：</w:t>
      </w:r>
    </w:p>
    <w:p>
      <w:pPr>
        <w:pStyle w:val="22"/>
        <w:widowControl/>
        <w:bidi w:val="0"/>
        <w:jc w:val="center"/>
        <w:rPr>
          <w:rStyle w:val="21"/>
          <w:rFonts w:hint="default" w:ascii="宋体" w:hAnsi="宋体" w:eastAsia="宋体" w:cs="宋体"/>
          <w:b w:val="0"/>
          <w:bCs w:val="0"/>
          <w:color w:val="0000FF"/>
          <w:kern w:val="0"/>
          <w:sz w:val="24"/>
          <w:szCs w:val="24"/>
          <w:lang w:val="en-US" w:eastAsia="zh-CN"/>
        </w:rPr>
      </w:pPr>
      <w:r>
        <w:rPr>
          <w:rStyle w:val="21"/>
          <w:rFonts w:hint="default" w:ascii="宋体" w:hAnsi="宋体" w:eastAsia="宋体" w:cs="宋体"/>
          <w:b w:val="0"/>
          <w:bCs w:val="0"/>
          <w:color w:val="0000FF"/>
          <w:kern w:val="0"/>
          <w:sz w:val="24"/>
          <w:szCs w:val="24"/>
          <w:lang w:val="en-US" w:eastAsia="zh-CN"/>
        </w:rPr>
        <w:fldChar w:fldCharType="begin"/>
      </w:r>
      <w:r>
        <w:rPr>
          <w:rStyle w:val="21"/>
          <w:rFonts w:hint="default" w:ascii="宋体" w:hAnsi="宋体" w:eastAsia="宋体" w:cs="宋体"/>
          <w:b w:val="0"/>
          <w:bCs w:val="0"/>
          <w:color w:val="0000FF"/>
          <w:kern w:val="0"/>
          <w:sz w:val="24"/>
          <w:szCs w:val="24"/>
          <w:lang w:val="en-US" w:eastAsia="zh-CN"/>
        </w:rPr>
        <w:instrText xml:space="preserve"> HYPERLINK "http://ecw.lcu.edu.cn/xysf/" </w:instrText>
      </w:r>
      <w:r>
        <w:rPr>
          <w:rStyle w:val="21"/>
          <w:rFonts w:hint="default" w:ascii="宋体" w:hAnsi="宋体" w:eastAsia="宋体" w:cs="宋体"/>
          <w:b w:val="0"/>
          <w:bCs w:val="0"/>
          <w:color w:val="0000FF"/>
          <w:kern w:val="0"/>
          <w:sz w:val="24"/>
          <w:szCs w:val="24"/>
          <w:lang w:val="en-US" w:eastAsia="zh-CN"/>
        </w:rPr>
        <w:fldChar w:fldCharType="separate"/>
      </w:r>
      <w:r>
        <w:rPr>
          <w:rStyle w:val="19"/>
          <w:rFonts w:hint="default" w:ascii="宋体" w:hAnsi="宋体" w:eastAsia="宋体" w:cs="宋体"/>
          <w:b w:val="0"/>
          <w:bCs w:val="0"/>
          <w:color w:val="0000FF"/>
          <w:kern w:val="0"/>
          <w:sz w:val="24"/>
          <w:szCs w:val="24"/>
          <w:lang w:val="en-US" w:eastAsia="zh-CN"/>
        </w:rPr>
        <w:t>http://ecw.lcu.edu.cn/xysf/</w:t>
      </w:r>
      <w:r>
        <w:rPr>
          <w:rStyle w:val="21"/>
          <w:rFonts w:hint="default" w:ascii="宋体" w:hAnsi="宋体" w:eastAsia="宋体" w:cs="宋体"/>
          <w:b w:val="0"/>
          <w:bCs w:val="0"/>
          <w:color w:val="0000FF"/>
          <w:kern w:val="0"/>
          <w:sz w:val="24"/>
          <w:szCs w:val="24"/>
          <w:lang w:val="en-US" w:eastAsia="zh-CN"/>
        </w:rPr>
        <w:fldChar w:fldCharType="end"/>
      </w:r>
    </w:p>
    <w:p>
      <w:pPr>
        <w:pStyle w:val="22"/>
        <w:widowControl/>
        <w:bidi w:val="0"/>
        <w:jc w:val="center"/>
        <w:rPr>
          <w:rStyle w:val="21"/>
          <w:rFonts w:hint="default" w:ascii="宋体" w:hAnsi="宋体" w:eastAsia="宋体" w:cs="宋体"/>
          <w:b w:val="0"/>
          <w:bCs w:val="0"/>
          <w:color w:val="000000"/>
          <w:kern w:val="0"/>
          <w:sz w:val="24"/>
          <w:szCs w:val="24"/>
          <w:lang w:val="en-US" w:eastAsia="zh-CN"/>
        </w:rPr>
      </w:pPr>
    </w:p>
    <w:p>
      <w:pPr>
        <w:pStyle w:val="22"/>
        <w:widowControl/>
        <w:bidi w:val="0"/>
        <w:jc w:val="center"/>
        <w:rPr>
          <w:rStyle w:val="21"/>
          <w:rFonts w:hint="eastAsia" w:ascii="宋体" w:hAnsi="宋体" w:eastAsia="宋体" w:cs="宋体"/>
          <w:b w:val="0"/>
          <w:bCs w:val="0"/>
          <w:color w:val="000000"/>
          <w:kern w:val="0"/>
          <w:sz w:val="24"/>
          <w:szCs w:val="24"/>
          <w:u w:val="none"/>
          <w:lang w:val="en-US" w:eastAsia="zh-CN"/>
        </w:rPr>
      </w:pPr>
      <w:r>
        <w:rPr>
          <w:rStyle w:val="21"/>
          <w:rFonts w:hint="eastAsia" w:ascii="宋体" w:hAnsi="宋体" w:eastAsia="宋体" w:cs="宋体"/>
          <w:b w:val="0"/>
          <w:bCs w:val="0"/>
          <w:color w:val="000000"/>
          <w:kern w:val="0"/>
          <w:sz w:val="24"/>
          <w:szCs w:val="24"/>
          <w:u w:val="none"/>
          <w:lang w:val="en-US" w:eastAsia="zh-CN"/>
        </w:rPr>
        <w:t>个人公积金查询登录网址：</w:t>
      </w:r>
    </w:p>
    <w:p>
      <w:pPr>
        <w:pStyle w:val="22"/>
        <w:widowControl/>
        <w:bidi w:val="0"/>
        <w:jc w:val="center"/>
        <w:rPr>
          <w:rStyle w:val="21"/>
          <w:rFonts w:hint="default" w:ascii="宋体" w:hAnsi="宋体" w:eastAsia="宋体" w:cs="宋体"/>
          <w:b w:val="0"/>
          <w:bCs w:val="0"/>
          <w:color w:val="0000FF"/>
          <w:kern w:val="0"/>
          <w:sz w:val="24"/>
          <w:szCs w:val="24"/>
          <w:lang w:val="en-US" w:eastAsia="zh-CN"/>
        </w:rPr>
      </w:pPr>
      <w:r>
        <w:rPr>
          <w:rStyle w:val="21"/>
          <w:rFonts w:hint="default" w:ascii="宋体" w:hAnsi="宋体" w:eastAsia="宋体" w:cs="宋体"/>
          <w:b w:val="0"/>
          <w:bCs w:val="0"/>
          <w:color w:val="0000FF"/>
          <w:kern w:val="0"/>
          <w:sz w:val="24"/>
          <w:szCs w:val="24"/>
          <w:lang w:val="en-US" w:eastAsia="zh-CN"/>
        </w:rPr>
        <w:fldChar w:fldCharType="begin"/>
      </w:r>
      <w:r>
        <w:rPr>
          <w:rStyle w:val="21"/>
          <w:rFonts w:hint="default" w:ascii="宋体" w:hAnsi="宋体" w:eastAsia="宋体" w:cs="宋体"/>
          <w:b w:val="0"/>
          <w:bCs w:val="0"/>
          <w:color w:val="0000FF"/>
          <w:kern w:val="0"/>
          <w:sz w:val="24"/>
          <w:szCs w:val="24"/>
          <w:lang w:val="en-US" w:eastAsia="zh-CN"/>
        </w:rPr>
        <w:instrText xml:space="preserve"> HYPERLINK "http://222.175.23.30/hfmis_wt/login" </w:instrText>
      </w:r>
      <w:r>
        <w:rPr>
          <w:rStyle w:val="21"/>
          <w:rFonts w:hint="default" w:ascii="宋体" w:hAnsi="宋体" w:eastAsia="宋体" w:cs="宋体"/>
          <w:b w:val="0"/>
          <w:bCs w:val="0"/>
          <w:color w:val="0000FF"/>
          <w:kern w:val="0"/>
          <w:sz w:val="24"/>
          <w:szCs w:val="24"/>
          <w:lang w:val="en-US" w:eastAsia="zh-CN"/>
        </w:rPr>
        <w:fldChar w:fldCharType="separate"/>
      </w:r>
      <w:r>
        <w:rPr>
          <w:rStyle w:val="19"/>
          <w:rFonts w:hint="default" w:ascii="宋体" w:hAnsi="宋体" w:eastAsia="宋体" w:cs="宋体"/>
          <w:b w:val="0"/>
          <w:bCs w:val="0"/>
          <w:color w:val="0000FF"/>
          <w:kern w:val="0"/>
          <w:sz w:val="24"/>
          <w:szCs w:val="24"/>
          <w:lang w:val="en-US" w:eastAsia="zh-CN"/>
        </w:rPr>
        <w:t>http://222.175.23.30/hfmis_wt/login</w:t>
      </w:r>
      <w:r>
        <w:rPr>
          <w:rStyle w:val="21"/>
          <w:rFonts w:hint="default" w:ascii="宋体" w:hAnsi="宋体" w:eastAsia="宋体" w:cs="宋体"/>
          <w:b w:val="0"/>
          <w:bCs w:val="0"/>
          <w:color w:val="0000FF"/>
          <w:kern w:val="0"/>
          <w:sz w:val="24"/>
          <w:szCs w:val="24"/>
          <w:lang w:val="en-US" w:eastAsia="zh-CN"/>
        </w:rPr>
        <w:fldChar w:fldCharType="end"/>
      </w:r>
    </w:p>
    <w:p>
      <w:pPr>
        <w:pStyle w:val="22"/>
        <w:widowControl/>
        <w:bidi w:val="0"/>
        <w:jc w:val="center"/>
        <w:rPr>
          <w:rStyle w:val="21"/>
          <w:rFonts w:hint="default" w:ascii="宋体" w:hAnsi="宋体" w:eastAsia="宋体" w:cs="宋体"/>
          <w:b w:val="0"/>
          <w:bCs w:val="0"/>
          <w:color w:val="000000"/>
          <w:kern w:val="0"/>
          <w:sz w:val="24"/>
          <w:szCs w:val="24"/>
          <w:lang w:val="en-US" w:eastAsia="zh-CN"/>
        </w:rPr>
      </w:pPr>
    </w:p>
    <w:p>
      <w:pPr>
        <w:pStyle w:val="22"/>
        <w:widowControl/>
        <w:bidi w:val="0"/>
        <w:jc w:val="center"/>
        <w:rPr>
          <w:rFonts w:ascii="宋体" w:hAnsi="宋体" w:eastAsia="宋体" w:cs="宋体"/>
          <w:kern w:val="0"/>
          <w:sz w:val="24"/>
          <w:szCs w:val="24"/>
        </w:rPr>
      </w:pPr>
    </w:p>
    <w:p>
      <w:pPr>
        <w:pStyle w:val="22"/>
        <w:widowControl/>
        <w:bidi w:val="0"/>
        <w:jc w:val="center"/>
        <w:rPr>
          <w:sz w:val="24"/>
          <w:szCs w:val="24"/>
        </w:rPr>
      </w:pPr>
      <w:r>
        <w:rPr>
          <w:rFonts w:ascii="宋体" w:hAnsi="宋体" w:eastAsia="宋体" w:cs="宋体"/>
          <w:b w:val="0"/>
          <w:bCs w:val="0"/>
          <w:color w:val="000000"/>
          <w:kern w:val="0"/>
          <w:sz w:val="24"/>
          <w:szCs w:val="24"/>
        </w:rPr>
        <w:t>“聊大财务”微信公众号</w:t>
      </w:r>
      <w:r>
        <w:rPr>
          <w:rFonts w:hint="eastAsia" w:ascii="宋体" w:hAnsi="宋体" w:eastAsia="宋体" w:cs="宋体"/>
          <w:b w:val="0"/>
          <w:bCs w:val="0"/>
          <w:color w:val="000000"/>
          <w:kern w:val="0"/>
          <w:sz w:val="24"/>
          <w:szCs w:val="24"/>
          <w:lang w:val="en-US" w:eastAsia="zh-CN"/>
        </w:rPr>
        <w:t>二维码</w:t>
      </w:r>
      <w:r>
        <w:rPr>
          <w:rFonts w:ascii="宋体" w:hAnsi="宋体" w:eastAsia="宋体" w:cs="宋体"/>
          <w:b w:val="0"/>
          <w:bCs w:val="0"/>
          <w:color w:val="000000"/>
          <w:kern w:val="0"/>
          <w:sz w:val="24"/>
          <w:szCs w:val="24"/>
        </w:rPr>
        <w:t>：</w:t>
      </w:r>
    </w:p>
    <w:p>
      <w:pPr>
        <w:pStyle w:val="22"/>
        <w:bidi w:val="0"/>
        <w:jc w:val="center"/>
      </w:pPr>
      <w:r>
        <w:drawing>
          <wp:inline distT="0" distB="0" distL="0" distR="0">
            <wp:extent cx="1297305" cy="1433195"/>
            <wp:effectExtent l="0" t="0" r="0" b="0"/>
            <wp:docPr id="1"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像1"/>
                    <pic:cNvPicPr>
                      <a:picLocks noChangeAspect="1" noChangeArrowheads="1"/>
                    </pic:cNvPicPr>
                  </pic:nvPicPr>
                  <pic:blipFill>
                    <a:blip r:embed="rId6"/>
                    <a:stretch>
                      <a:fillRect/>
                    </a:stretch>
                  </pic:blipFill>
                  <pic:spPr>
                    <a:xfrm>
                      <a:off x="0" y="0"/>
                      <a:ext cx="1297305" cy="1433195"/>
                    </a:xfrm>
                    <a:prstGeom prst="rect">
                      <a:avLst/>
                    </a:prstGeom>
                  </pic:spPr>
                </pic:pic>
              </a:graphicData>
            </a:graphic>
          </wp:inline>
        </w:drawing>
      </w:r>
    </w:p>
    <w:p>
      <w:pPr>
        <w:pStyle w:val="22"/>
        <w:bidi w:val="0"/>
        <w:jc w:val="left"/>
        <w:rPr>
          <w:rFonts w:eastAsia="宋体"/>
          <w:sz w:val="28"/>
          <w:szCs w:val="28"/>
        </w:rPr>
      </w:pPr>
      <w:r>
        <w:rPr>
          <w:rFonts w:eastAsia="宋体"/>
          <w:sz w:val="28"/>
          <w:szCs w:val="28"/>
        </w:rPr>
        <w:t xml:space="preserve">    </w:t>
      </w:r>
    </w:p>
    <w:p>
      <w:pPr>
        <w:pStyle w:val="22"/>
        <w:bidi w:val="0"/>
        <w:jc w:val="center"/>
        <w:rPr>
          <w:rFonts w:eastAsia="宋体"/>
          <w:b w:val="0"/>
          <w:bCs w:val="0"/>
          <w:sz w:val="28"/>
          <w:szCs w:val="28"/>
        </w:rPr>
      </w:pPr>
      <w:r>
        <w:rPr>
          <w:rFonts w:eastAsia="宋体"/>
          <w:b w:val="0"/>
          <w:bCs w:val="0"/>
          <w:sz w:val="28"/>
          <w:szCs w:val="28"/>
        </w:rPr>
        <w:t>财务处</w:t>
      </w:r>
    </w:p>
    <w:p>
      <w:pPr>
        <w:pStyle w:val="22"/>
        <w:bidi w:val="0"/>
        <w:jc w:val="center"/>
        <w:rPr>
          <w:rFonts w:ascii="宋体" w:hAnsi="宋体" w:eastAsia="宋体" w:cstheme="minorBidi"/>
          <w:sz w:val="21"/>
          <w:lang w:val="en-US" w:eastAsia="zh-CN" w:bidi="hi-IN"/>
        </w:rPr>
        <w:sectPr>
          <w:footerReference r:id="rId3" w:type="default"/>
          <w:pgSz w:w="11906" w:h="16838"/>
          <w:pgMar w:top="1440" w:right="1800" w:bottom="1440" w:left="1800" w:header="0" w:footer="0" w:gutter="0"/>
          <w:pgNumType w:fmt="decimal"/>
          <w:cols w:space="720" w:num="1"/>
          <w:formProt w:val="0"/>
          <w:docGrid w:type="lines" w:linePitch="312" w:charSpace="337714"/>
        </w:sectPr>
      </w:pPr>
      <w:r>
        <w:rPr>
          <w:rFonts w:eastAsia="宋体"/>
          <w:b w:val="0"/>
          <w:bCs w:val="0"/>
          <w:sz w:val="28"/>
          <w:szCs w:val="28"/>
        </w:rPr>
        <w:t>2021年10月</w:t>
      </w:r>
    </w:p>
    <w:sdt>
      <w:sdtPr>
        <w:rPr>
          <w:rFonts w:ascii="宋体" w:hAnsi="宋体" w:eastAsia="宋体" w:cstheme="minorBidi"/>
          <w:b/>
          <w:bCs/>
          <w:sz w:val="32"/>
          <w:szCs w:val="32"/>
          <w:lang w:val="en-US" w:eastAsia="zh-CN" w:bidi="hi-IN"/>
        </w:rPr>
        <w:id w:val="147463290"/>
        <w15:color w:val="DBDBDB"/>
        <w:docPartObj>
          <w:docPartGallery w:val="Table of Contents"/>
          <w:docPartUnique/>
        </w:docPartObj>
      </w:sdtPr>
      <w:sdtEndPr>
        <w:rPr>
          <w:rFonts w:ascii="宋体" w:hAnsi="宋体" w:eastAsia="宋体" w:cstheme="minorBidi"/>
          <w:b/>
          <w:bCs/>
          <w:sz w:val="24"/>
          <w:szCs w:val="24"/>
          <w:lang w:val="en-US" w:eastAsia="zh-CN" w:bidi="hi-IN"/>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目</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录</w:t>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TOC \o "1-2" \h \u </w:instrText>
          </w:r>
          <w:r>
            <w:rPr>
              <w:rFonts w:hint="eastAsia" w:ascii="仿宋" w:hAnsi="仿宋" w:eastAsia="仿宋" w:cs="仿宋"/>
              <w:b/>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_Toc15182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 xml:space="preserve">1. </w:t>
          </w:r>
          <w:r>
            <w:rPr>
              <w:rFonts w:hint="eastAsia" w:ascii="仿宋" w:hAnsi="仿宋" w:eastAsia="仿宋" w:cs="仿宋"/>
              <w:sz w:val="28"/>
              <w:szCs w:val="28"/>
            </w:rPr>
            <w:t>财务报销</w:t>
          </w:r>
          <w:r>
            <w:rPr>
              <w:rFonts w:hint="eastAsia" w:ascii="仿宋" w:hAnsi="仿宋" w:eastAsia="仿宋" w:cs="仿宋"/>
              <w:sz w:val="28"/>
              <w:szCs w:val="28"/>
              <w:lang w:val="en-US" w:eastAsia="zh-CN"/>
            </w:rPr>
            <w:t>服务指南</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_Toc15182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_Toc3885 </w:instrText>
          </w:r>
          <w:r>
            <w:rPr>
              <w:rFonts w:hint="eastAsia" w:ascii="仿宋" w:hAnsi="仿宋" w:eastAsia="仿宋" w:cs="仿宋"/>
              <w:sz w:val="28"/>
              <w:szCs w:val="28"/>
            </w:rPr>
            <w:fldChar w:fldCharType="separate"/>
          </w:r>
          <w:r>
            <w:rPr>
              <w:rFonts w:hint="eastAsia" w:ascii="仿宋" w:hAnsi="仿宋" w:eastAsia="仿宋" w:cs="仿宋"/>
              <w:sz w:val="28"/>
              <w:szCs w:val="28"/>
            </w:rPr>
            <w:t>1.1. 财务报销经费审批遵循的基本原则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_Toc3885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_Toc31611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 xml:space="preserve">1.2. </w:t>
          </w:r>
          <w:r>
            <w:rPr>
              <w:rFonts w:hint="eastAsia" w:ascii="仿宋" w:hAnsi="仿宋" w:eastAsia="仿宋" w:cs="仿宋"/>
              <w:sz w:val="28"/>
              <w:szCs w:val="28"/>
            </w:rPr>
            <w:t>网上报账</w:t>
          </w:r>
          <w:r>
            <w:rPr>
              <w:rFonts w:hint="eastAsia" w:ascii="仿宋" w:hAnsi="仿宋" w:eastAsia="仿宋" w:cs="仿宋"/>
              <w:sz w:val="28"/>
              <w:szCs w:val="28"/>
              <w:lang w:val="en-US" w:eastAsia="zh-CN"/>
            </w:rPr>
            <w:t>业务范围</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_Toc31611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_Toc13310 </w:instrText>
          </w:r>
          <w:r>
            <w:rPr>
              <w:rFonts w:hint="eastAsia" w:ascii="仿宋" w:hAnsi="仿宋" w:eastAsia="仿宋" w:cs="仿宋"/>
              <w:sz w:val="28"/>
              <w:szCs w:val="28"/>
            </w:rPr>
            <w:fldChar w:fldCharType="separate"/>
          </w:r>
          <w:r>
            <w:rPr>
              <w:rFonts w:hint="eastAsia" w:ascii="仿宋" w:hAnsi="仿宋" w:eastAsia="仿宋" w:cs="仿宋"/>
              <w:sz w:val="28"/>
              <w:szCs w:val="28"/>
            </w:rPr>
            <w:t>1.3. 网上报账流程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_Toc13310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_Toc12959 </w:instrText>
          </w:r>
          <w:r>
            <w:rPr>
              <w:rFonts w:hint="eastAsia" w:ascii="仿宋" w:hAnsi="仿宋" w:eastAsia="仿宋" w:cs="仿宋"/>
              <w:sz w:val="28"/>
              <w:szCs w:val="28"/>
            </w:rPr>
            <w:fldChar w:fldCharType="separate"/>
          </w:r>
          <w:r>
            <w:rPr>
              <w:rFonts w:hint="eastAsia" w:ascii="仿宋" w:hAnsi="仿宋" w:eastAsia="仿宋" w:cs="仿宋"/>
              <w:sz w:val="28"/>
              <w:szCs w:val="28"/>
            </w:rPr>
            <w:t>1.4. 发票</w:t>
          </w:r>
          <w:r>
            <w:rPr>
              <w:rFonts w:hint="eastAsia" w:ascii="仿宋" w:hAnsi="仿宋" w:eastAsia="仿宋" w:cs="仿宋"/>
              <w:sz w:val="28"/>
              <w:szCs w:val="28"/>
              <w:lang w:val="en-US" w:eastAsia="zh-CN"/>
            </w:rPr>
            <w:t>开具注意事项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_Toc12959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_Toc7411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1.5. </w:t>
          </w:r>
          <w:r>
            <w:rPr>
              <w:rFonts w:hint="eastAsia" w:ascii="仿宋" w:hAnsi="仿宋" w:eastAsia="仿宋" w:cs="仿宋"/>
              <w:sz w:val="28"/>
              <w:szCs w:val="28"/>
              <w:lang w:val="en-US" w:eastAsia="zh-CN"/>
            </w:rPr>
            <w:t>何类</w:t>
          </w:r>
          <w:r>
            <w:rPr>
              <w:rFonts w:hint="eastAsia" w:ascii="仿宋" w:hAnsi="仿宋" w:eastAsia="仿宋" w:cs="仿宋"/>
              <w:sz w:val="28"/>
              <w:szCs w:val="28"/>
            </w:rPr>
            <w:t>发票需附明细清单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_Toc7411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_Toc20286 </w:instrText>
          </w:r>
          <w:r>
            <w:rPr>
              <w:rFonts w:hint="eastAsia" w:ascii="仿宋" w:hAnsi="仿宋" w:eastAsia="仿宋" w:cs="仿宋"/>
              <w:sz w:val="28"/>
              <w:szCs w:val="28"/>
            </w:rPr>
            <w:fldChar w:fldCharType="separate"/>
          </w:r>
          <w:r>
            <w:rPr>
              <w:rFonts w:hint="eastAsia" w:ascii="仿宋" w:hAnsi="仿宋" w:eastAsia="仿宋" w:cs="仿宋"/>
              <w:sz w:val="28"/>
              <w:szCs w:val="28"/>
            </w:rPr>
            <w:t>1.6. 发票列明“详见销货清单”字样的，对“销货清单”有何要求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_Toc20286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_Toc14520 </w:instrText>
          </w:r>
          <w:r>
            <w:rPr>
              <w:rFonts w:hint="eastAsia" w:ascii="仿宋" w:hAnsi="仿宋" w:eastAsia="仿宋" w:cs="仿宋"/>
              <w:sz w:val="28"/>
              <w:szCs w:val="28"/>
            </w:rPr>
            <w:fldChar w:fldCharType="separate"/>
          </w:r>
          <w:r>
            <w:rPr>
              <w:rFonts w:hint="eastAsia" w:ascii="仿宋" w:hAnsi="仿宋" w:eastAsia="仿宋" w:cs="仿宋"/>
              <w:sz w:val="28"/>
              <w:szCs w:val="28"/>
            </w:rPr>
            <w:t>1.7. 增值税普通发票、增值税专用发票、电子发票、定额发票都可以报销吗</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_Toc14520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_Toc16044 </w:instrText>
          </w:r>
          <w:r>
            <w:rPr>
              <w:rFonts w:hint="eastAsia" w:ascii="仿宋" w:hAnsi="仿宋" w:eastAsia="仿宋" w:cs="仿宋"/>
              <w:sz w:val="28"/>
              <w:szCs w:val="28"/>
            </w:rPr>
            <w:fldChar w:fldCharType="separate"/>
          </w:r>
          <w:r>
            <w:rPr>
              <w:rFonts w:hint="eastAsia" w:ascii="仿宋" w:hAnsi="仿宋" w:eastAsia="仿宋" w:cs="仿宋"/>
              <w:sz w:val="28"/>
              <w:szCs w:val="28"/>
            </w:rPr>
            <w:t>1.8. 资金往来结算票据使用范围</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_Toc16044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_Toc23387 </w:instrText>
          </w:r>
          <w:r>
            <w:rPr>
              <w:rFonts w:hint="eastAsia" w:ascii="仿宋" w:hAnsi="仿宋" w:eastAsia="仿宋" w:cs="仿宋"/>
              <w:sz w:val="28"/>
              <w:szCs w:val="28"/>
            </w:rPr>
            <w:fldChar w:fldCharType="separate"/>
          </w:r>
          <w:r>
            <w:rPr>
              <w:rFonts w:hint="eastAsia" w:ascii="仿宋" w:hAnsi="仿宋" w:eastAsia="仿宋" w:cs="仿宋"/>
              <w:sz w:val="28"/>
              <w:szCs w:val="28"/>
            </w:rPr>
            <w:t>1.9. 不能使用资金往来结算票据的常见业务</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_Toc23387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_Toc22684 </w:instrText>
          </w:r>
          <w:r>
            <w:rPr>
              <w:rFonts w:hint="eastAsia" w:ascii="仿宋" w:hAnsi="仿宋" w:eastAsia="仿宋" w:cs="仿宋"/>
              <w:sz w:val="28"/>
              <w:szCs w:val="28"/>
            </w:rPr>
            <w:fldChar w:fldCharType="separate"/>
          </w:r>
          <w:r>
            <w:rPr>
              <w:rFonts w:hint="eastAsia" w:ascii="仿宋" w:hAnsi="仿宋" w:eastAsia="仿宋" w:cs="仿宋"/>
              <w:sz w:val="28"/>
              <w:szCs w:val="28"/>
            </w:rPr>
            <w:t>1.10. 校内自制报销格式单据有哪些</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_Toc22684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_Toc2589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 xml:space="preserve">1.11. </w:t>
          </w:r>
          <w:r>
            <w:rPr>
              <w:rFonts w:hint="eastAsia" w:ascii="仿宋" w:hAnsi="仿宋" w:eastAsia="仿宋" w:cs="仿宋"/>
              <w:sz w:val="28"/>
              <w:szCs w:val="28"/>
            </w:rPr>
            <w:t>发票丢失处理</w:t>
          </w:r>
          <w:r>
            <w:rPr>
              <w:rFonts w:hint="eastAsia" w:ascii="仿宋" w:hAnsi="仿宋" w:eastAsia="仿宋" w:cs="仿宋"/>
              <w:sz w:val="28"/>
              <w:szCs w:val="28"/>
              <w:lang w:val="en-US" w:eastAsia="zh-CN"/>
            </w:rPr>
            <w:t>规定</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_Toc2589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_Toc20543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 xml:space="preserve">1.12. </w:t>
          </w:r>
          <w:r>
            <w:rPr>
              <w:rFonts w:hint="eastAsia" w:ascii="仿宋" w:hAnsi="仿宋" w:eastAsia="仿宋" w:cs="仿宋"/>
              <w:sz w:val="28"/>
              <w:szCs w:val="28"/>
            </w:rPr>
            <w:t>市内出租车发票报销</w:t>
          </w:r>
          <w:r>
            <w:rPr>
              <w:rFonts w:hint="eastAsia" w:ascii="仿宋" w:hAnsi="仿宋" w:eastAsia="仿宋" w:cs="仿宋"/>
              <w:sz w:val="28"/>
              <w:szCs w:val="28"/>
              <w:lang w:val="en-US" w:eastAsia="zh-CN"/>
            </w:rPr>
            <w:t>规定</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_Toc20543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_Toc10899 </w:instrText>
          </w:r>
          <w:r>
            <w:rPr>
              <w:rFonts w:hint="eastAsia" w:ascii="仿宋" w:hAnsi="仿宋" w:eastAsia="仿宋" w:cs="仿宋"/>
              <w:sz w:val="28"/>
              <w:szCs w:val="28"/>
            </w:rPr>
            <w:fldChar w:fldCharType="separate"/>
          </w:r>
          <w:r>
            <w:rPr>
              <w:rFonts w:hint="eastAsia" w:ascii="仿宋" w:hAnsi="仿宋" w:eastAsia="仿宋" w:cs="仿宋"/>
              <w:sz w:val="28"/>
              <w:szCs w:val="28"/>
            </w:rPr>
            <w:t>1.13. 日常差旅费报销需提供材料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_Toc10899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_Toc8027 </w:instrText>
          </w:r>
          <w:r>
            <w:rPr>
              <w:rFonts w:hint="eastAsia" w:ascii="仿宋" w:hAnsi="仿宋" w:eastAsia="仿宋" w:cs="仿宋"/>
              <w:sz w:val="28"/>
              <w:szCs w:val="28"/>
            </w:rPr>
            <w:fldChar w:fldCharType="separate"/>
          </w:r>
          <w:r>
            <w:rPr>
              <w:rFonts w:hint="eastAsia" w:ascii="仿宋" w:hAnsi="仿宋" w:eastAsia="仿宋" w:cs="仿宋"/>
              <w:sz w:val="28"/>
              <w:szCs w:val="28"/>
            </w:rPr>
            <w:t>1.14. 租用社会车辆出差报销需提供材料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_Toc8027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_Toc22507 </w:instrText>
          </w:r>
          <w:r>
            <w:rPr>
              <w:rFonts w:hint="eastAsia" w:ascii="仿宋" w:hAnsi="仿宋" w:eastAsia="仿宋" w:cs="仿宋"/>
              <w:sz w:val="28"/>
              <w:szCs w:val="28"/>
            </w:rPr>
            <w:fldChar w:fldCharType="separate"/>
          </w:r>
          <w:r>
            <w:rPr>
              <w:rFonts w:hint="eastAsia" w:ascii="仿宋" w:hAnsi="仿宋" w:eastAsia="仿宋" w:cs="仿宋"/>
              <w:sz w:val="28"/>
              <w:szCs w:val="28"/>
            </w:rPr>
            <w:t>1.15. 出差审批程序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_Toc22507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_Toc17141 </w:instrText>
          </w:r>
          <w:r>
            <w:rPr>
              <w:rFonts w:hint="eastAsia" w:ascii="仿宋" w:hAnsi="仿宋" w:eastAsia="仿宋" w:cs="仿宋"/>
              <w:sz w:val="28"/>
              <w:szCs w:val="28"/>
            </w:rPr>
            <w:fldChar w:fldCharType="separate"/>
          </w:r>
          <w:r>
            <w:rPr>
              <w:rFonts w:hint="eastAsia" w:ascii="仿宋" w:hAnsi="仿宋" w:eastAsia="仿宋" w:cs="仿宋"/>
              <w:sz w:val="28"/>
              <w:szCs w:val="28"/>
            </w:rPr>
            <w:t>1.16. 同时报销多次出差业务，可以填制一张出差审批单吗</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_Toc17141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_Toc30555 </w:instrText>
          </w:r>
          <w:r>
            <w:rPr>
              <w:rFonts w:hint="eastAsia" w:ascii="仿宋" w:hAnsi="仿宋" w:eastAsia="仿宋" w:cs="仿宋"/>
              <w:sz w:val="28"/>
              <w:szCs w:val="28"/>
            </w:rPr>
            <w:fldChar w:fldCharType="separate"/>
          </w:r>
          <w:r>
            <w:rPr>
              <w:rFonts w:hint="eastAsia" w:ascii="仿宋" w:hAnsi="仿宋" w:eastAsia="仿宋" w:cs="仿宋"/>
              <w:sz w:val="28"/>
              <w:szCs w:val="28"/>
            </w:rPr>
            <w:t>1.17. 出差人员实际发生住宿确实无法取得住宿费发票的如何计发出差补助</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_Toc30555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_Toc7820 </w:instrText>
          </w:r>
          <w:r>
            <w:rPr>
              <w:rFonts w:hint="eastAsia" w:ascii="仿宋" w:hAnsi="仿宋" w:eastAsia="仿宋" w:cs="仿宋"/>
              <w:sz w:val="28"/>
              <w:szCs w:val="28"/>
            </w:rPr>
            <w:fldChar w:fldCharType="separate"/>
          </w:r>
          <w:r>
            <w:rPr>
              <w:rFonts w:hint="eastAsia" w:ascii="仿宋" w:hAnsi="仿宋" w:eastAsia="仿宋" w:cs="仿宋"/>
              <w:sz w:val="28"/>
              <w:szCs w:val="28"/>
            </w:rPr>
            <w:t>1.18. 有住宿费发票，无交通费票据或城市间交通费票据行程不完整、不连贯的，如何计发出差补助</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_Toc7820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_Toc11520 </w:instrText>
          </w:r>
          <w:r>
            <w:rPr>
              <w:rFonts w:hint="eastAsia" w:ascii="仿宋" w:hAnsi="仿宋" w:eastAsia="仿宋" w:cs="仿宋"/>
              <w:sz w:val="28"/>
              <w:szCs w:val="28"/>
            </w:rPr>
            <w:fldChar w:fldCharType="separate"/>
          </w:r>
          <w:r>
            <w:rPr>
              <w:rFonts w:hint="eastAsia" w:ascii="仿宋" w:hAnsi="仿宋" w:eastAsia="仿宋" w:cs="仿宋"/>
              <w:sz w:val="28"/>
              <w:szCs w:val="28"/>
            </w:rPr>
            <w:t>1.19. 出差租用社会车辆规定</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_Toc11520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_Toc16890 </w:instrText>
          </w:r>
          <w:r>
            <w:rPr>
              <w:rFonts w:hint="eastAsia" w:ascii="仿宋" w:hAnsi="仿宋" w:eastAsia="仿宋" w:cs="仿宋"/>
              <w:sz w:val="28"/>
              <w:szCs w:val="28"/>
            </w:rPr>
            <w:fldChar w:fldCharType="separate"/>
          </w:r>
          <w:r>
            <w:rPr>
              <w:rFonts w:hint="eastAsia" w:ascii="仿宋" w:hAnsi="仿宋" w:eastAsia="仿宋" w:cs="仿宋"/>
              <w:kern w:val="0"/>
              <w:sz w:val="28"/>
              <w:szCs w:val="28"/>
            </w:rPr>
            <w:t xml:space="preserve">1.20. </w:t>
          </w:r>
          <w:r>
            <w:rPr>
              <w:rFonts w:hint="eastAsia" w:ascii="仿宋" w:hAnsi="仿宋" w:eastAsia="仿宋" w:cs="仿宋"/>
              <w:sz w:val="28"/>
              <w:szCs w:val="28"/>
            </w:rPr>
            <w:t>学校招标选定的汽车租赁企业商家库车辆无法满足实际需求时审批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_Toc16890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_Toc7352 </w:instrText>
          </w:r>
          <w:r>
            <w:rPr>
              <w:rFonts w:hint="eastAsia" w:ascii="仿宋" w:hAnsi="仿宋" w:eastAsia="仿宋" w:cs="仿宋"/>
              <w:sz w:val="28"/>
              <w:szCs w:val="28"/>
            </w:rPr>
            <w:fldChar w:fldCharType="separate"/>
          </w:r>
          <w:r>
            <w:rPr>
              <w:rFonts w:hint="eastAsia" w:ascii="仿宋" w:hAnsi="仿宋" w:eastAsia="仿宋" w:cs="仿宋"/>
              <w:sz w:val="28"/>
              <w:szCs w:val="28"/>
            </w:rPr>
            <w:t>1.21. 出差时在出发地和目的地往返火车站或飞机场等产生的市内交通费，可否报销</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_Toc7352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_Toc28523 </w:instrText>
          </w:r>
          <w:r>
            <w:rPr>
              <w:rFonts w:hint="eastAsia" w:ascii="仿宋" w:hAnsi="仿宋" w:eastAsia="仿宋" w:cs="仿宋"/>
              <w:sz w:val="28"/>
              <w:szCs w:val="28"/>
            </w:rPr>
            <w:fldChar w:fldCharType="separate"/>
          </w:r>
          <w:r>
            <w:rPr>
              <w:rFonts w:hint="eastAsia" w:ascii="仿宋" w:hAnsi="仿宋" w:eastAsia="仿宋" w:cs="仿宋"/>
              <w:sz w:val="28"/>
              <w:szCs w:val="28"/>
            </w:rPr>
            <w:t>1.22. 出差购买公务机票要求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_Toc28523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_Toc32440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rPr>
            <w:t xml:space="preserve">1.23. </w:t>
          </w:r>
          <w:r>
            <w:rPr>
              <w:rFonts w:hint="eastAsia" w:ascii="仿宋" w:hAnsi="仿宋" w:eastAsia="仿宋" w:cs="仿宋"/>
              <w:sz w:val="28"/>
              <w:szCs w:val="28"/>
            </w:rPr>
            <w:t>没有通过政府采购机票管理网站或各航空公司直销或代理机构购票</w:t>
          </w:r>
          <w:r>
            <w:rPr>
              <w:rFonts w:hint="eastAsia" w:ascii="仿宋" w:hAnsi="仿宋" w:eastAsia="仿宋" w:cs="仿宋"/>
              <w:sz w:val="28"/>
              <w:szCs w:val="28"/>
              <w:lang w:val="en-US" w:eastAsia="zh-CN"/>
            </w:rPr>
            <w:t>报销规定</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_Toc32440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_Toc27156 </w:instrText>
          </w:r>
          <w:r>
            <w:rPr>
              <w:rFonts w:hint="eastAsia" w:ascii="仿宋" w:hAnsi="仿宋" w:eastAsia="仿宋" w:cs="仿宋"/>
              <w:sz w:val="28"/>
              <w:szCs w:val="28"/>
            </w:rPr>
            <w:fldChar w:fldCharType="separate"/>
          </w:r>
          <w:r>
            <w:rPr>
              <w:rFonts w:hint="eastAsia" w:ascii="仿宋" w:hAnsi="仿宋" w:eastAsia="仿宋" w:cs="仿宋"/>
              <w:sz w:val="28"/>
              <w:szCs w:val="28"/>
            </w:rPr>
            <w:t>1.24. 因公临时出国（境）费用报销需提供材料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_Toc27156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_Toc3565 </w:instrText>
          </w:r>
          <w:r>
            <w:rPr>
              <w:rFonts w:hint="eastAsia" w:ascii="仿宋" w:hAnsi="仿宋" w:eastAsia="仿宋" w:cs="仿宋"/>
              <w:sz w:val="28"/>
              <w:szCs w:val="28"/>
            </w:rPr>
            <w:fldChar w:fldCharType="separate"/>
          </w:r>
          <w:r>
            <w:rPr>
              <w:rFonts w:hint="eastAsia" w:ascii="仿宋" w:hAnsi="仿宋" w:eastAsia="仿宋" w:cs="仿宋"/>
              <w:sz w:val="28"/>
              <w:szCs w:val="28"/>
            </w:rPr>
            <w:t>1.25. 公务接待报销需提供材料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_Toc3565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_Toc7048 </w:instrText>
          </w:r>
          <w:r>
            <w:rPr>
              <w:rFonts w:hint="eastAsia" w:ascii="仿宋" w:hAnsi="仿宋" w:eastAsia="仿宋" w:cs="仿宋"/>
              <w:sz w:val="28"/>
              <w:szCs w:val="28"/>
            </w:rPr>
            <w:fldChar w:fldCharType="separate"/>
          </w:r>
          <w:r>
            <w:rPr>
              <w:rFonts w:hint="eastAsia" w:ascii="仿宋" w:hAnsi="仿宋" w:eastAsia="仿宋" w:cs="仿宋"/>
              <w:sz w:val="28"/>
              <w:szCs w:val="28"/>
            </w:rPr>
            <w:t>1.26. 外宾来校日常伙食标准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_Toc7048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_Toc18037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 xml:space="preserve">1.27. </w:t>
          </w:r>
          <w:r>
            <w:rPr>
              <w:rFonts w:hint="eastAsia" w:ascii="仿宋" w:hAnsi="仿宋" w:eastAsia="仿宋" w:cs="仿宋"/>
              <w:sz w:val="28"/>
              <w:szCs w:val="28"/>
            </w:rPr>
            <w:t>外宾来华期间可以宴请</w:t>
          </w:r>
          <w:r>
            <w:rPr>
              <w:rFonts w:hint="eastAsia" w:ascii="仿宋" w:hAnsi="仿宋" w:eastAsia="仿宋" w:cs="仿宋"/>
              <w:sz w:val="28"/>
              <w:szCs w:val="28"/>
              <w:lang w:val="en-US" w:eastAsia="zh-CN"/>
            </w:rPr>
            <w:t>规定</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_Toc18037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_Toc19683 </w:instrText>
          </w:r>
          <w:r>
            <w:rPr>
              <w:rFonts w:hint="eastAsia" w:ascii="仿宋" w:hAnsi="仿宋" w:eastAsia="仿宋" w:cs="仿宋"/>
              <w:sz w:val="28"/>
              <w:szCs w:val="28"/>
            </w:rPr>
            <w:fldChar w:fldCharType="separate"/>
          </w:r>
          <w:r>
            <w:rPr>
              <w:rFonts w:hint="eastAsia" w:ascii="仿宋" w:hAnsi="仿宋" w:eastAsia="仿宋" w:cs="仿宋"/>
              <w:sz w:val="28"/>
              <w:szCs w:val="28"/>
            </w:rPr>
            <w:t>1.28. 外宾来华期间宴请标准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_Toc19683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_Toc23719 </w:instrText>
          </w:r>
          <w:r>
            <w:rPr>
              <w:rFonts w:hint="eastAsia" w:ascii="仿宋" w:hAnsi="仿宋" w:eastAsia="仿宋" w:cs="仿宋"/>
              <w:sz w:val="28"/>
              <w:szCs w:val="28"/>
            </w:rPr>
            <w:fldChar w:fldCharType="separate"/>
          </w:r>
          <w:r>
            <w:rPr>
              <w:rFonts w:hint="eastAsia" w:ascii="仿宋" w:hAnsi="仿宋" w:eastAsia="仿宋" w:cs="仿宋"/>
              <w:sz w:val="28"/>
              <w:szCs w:val="28"/>
            </w:rPr>
            <w:t>1.29. 宴请外宾时国内陪同人员规定</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_Toc23719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_Toc23076 </w:instrText>
          </w:r>
          <w:r>
            <w:rPr>
              <w:rFonts w:hint="eastAsia" w:ascii="仿宋" w:hAnsi="仿宋" w:eastAsia="仿宋" w:cs="仿宋"/>
              <w:sz w:val="28"/>
              <w:szCs w:val="28"/>
            </w:rPr>
            <w:fldChar w:fldCharType="separate"/>
          </w:r>
          <w:r>
            <w:rPr>
              <w:rFonts w:hint="eastAsia" w:ascii="仿宋" w:hAnsi="仿宋" w:eastAsia="仿宋" w:cs="仿宋"/>
              <w:sz w:val="28"/>
              <w:szCs w:val="28"/>
            </w:rPr>
            <w:t>1.30. 陪同外宾赴各市访问期间，陪同人员的伙食费、住宿费、交通费等开支标准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_Toc23076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_Toc22911 </w:instrText>
          </w:r>
          <w:r>
            <w:rPr>
              <w:rFonts w:hint="eastAsia" w:ascii="仿宋" w:hAnsi="仿宋" w:eastAsia="仿宋" w:cs="仿宋"/>
              <w:sz w:val="28"/>
              <w:szCs w:val="28"/>
            </w:rPr>
            <w:fldChar w:fldCharType="separate"/>
          </w:r>
          <w:r>
            <w:rPr>
              <w:rFonts w:hint="eastAsia" w:ascii="仿宋" w:hAnsi="仿宋" w:eastAsia="仿宋" w:cs="仿宋"/>
              <w:sz w:val="28"/>
              <w:szCs w:val="28"/>
            </w:rPr>
            <w:t>1.31. 承办会议后报销会议费需提供材料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_Toc22911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_Toc14695 </w:instrText>
          </w:r>
          <w:r>
            <w:rPr>
              <w:rFonts w:hint="eastAsia" w:ascii="仿宋" w:hAnsi="仿宋" w:eastAsia="仿宋" w:cs="仿宋"/>
              <w:sz w:val="28"/>
              <w:szCs w:val="28"/>
            </w:rPr>
            <w:fldChar w:fldCharType="separate"/>
          </w:r>
          <w:r>
            <w:rPr>
              <w:rFonts w:hint="eastAsia" w:ascii="仿宋" w:hAnsi="仿宋" w:eastAsia="仿宋" w:cs="仿宋"/>
              <w:sz w:val="28"/>
              <w:szCs w:val="28"/>
            </w:rPr>
            <w:t>1.32. 会议费综合定额标准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_Toc14695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_Toc28536 </w:instrText>
          </w:r>
          <w:r>
            <w:rPr>
              <w:rFonts w:hint="eastAsia" w:ascii="仿宋" w:hAnsi="仿宋" w:eastAsia="仿宋" w:cs="仿宋"/>
              <w:sz w:val="28"/>
              <w:szCs w:val="28"/>
            </w:rPr>
            <w:fldChar w:fldCharType="separate"/>
          </w:r>
          <w:r>
            <w:rPr>
              <w:rFonts w:hint="eastAsia" w:ascii="仿宋" w:hAnsi="仿宋" w:eastAsia="仿宋" w:cs="仿宋"/>
              <w:sz w:val="28"/>
              <w:szCs w:val="28"/>
            </w:rPr>
            <w:t>1.33. 会议费综合定额是否可以调剂使用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_Toc28536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_Toc15582 </w:instrText>
          </w:r>
          <w:r>
            <w:rPr>
              <w:rFonts w:hint="eastAsia" w:ascii="仿宋" w:hAnsi="仿宋" w:eastAsia="仿宋" w:cs="仿宋"/>
              <w:sz w:val="28"/>
              <w:szCs w:val="28"/>
            </w:rPr>
            <w:fldChar w:fldCharType="separate"/>
          </w:r>
          <w:r>
            <w:rPr>
              <w:rFonts w:hint="eastAsia" w:ascii="仿宋" w:hAnsi="仿宋" w:eastAsia="仿宋" w:cs="仿宋"/>
              <w:sz w:val="28"/>
              <w:szCs w:val="28"/>
            </w:rPr>
            <w:t>1.34. 举办或承办培训后报销培训费用需提供材料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_Toc15582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_Toc29455 </w:instrText>
          </w:r>
          <w:r>
            <w:rPr>
              <w:rFonts w:hint="eastAsia" w:ascii="仿宋" w:hAnsi="仿宋" w:eastAsia="仿宋" w:cs="仿宋"/>
              <w:sz w:val="28"/>
              <w:szCs w:val="28"/>
            </w:rPr>
            <w:fldChar w:fldCharType="separate"/>
          </w:r>
          <w:r>
            <w:rPr>
              <w:rFonts w:hint="eastAsia" w:ascii="仿宋" w:hAnsi="仿宋" w:eastAsia="仿宋" w:cs="仿宋"/>
              <w:sz w:val="28"/>
              <w:szCs w:val="28"/>
            </w:rPr>
            <w:t>1.35. 培训费综合定额标准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_Toc29455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_Toc28098 </w:instrText>
          </w:r>
          <w:r>
            <w:rPr>
              <w:rFonts w:hint="eastAsia" w:ascii="仿宋" w:hAnsi="仿宋" w:eastAsia="仿宋" w:cs="仿宋"/>
              <w:sz w:val="28"/>
              <w:szCs w:val="28"/>
            </w:rPr>
            <w:fldChar w:fldCharType="separate"/>
          </w:r>
          <w:r>
            <w:rPr>
              <w:rFonts w:hint="eastAsia" w:ascii="仿宋" w:hAnsi="仿宋" w:eastAsia="仿宋" w:cs="仿宋"/>
              <w:sz w:val="28"/>
              <w:szCs w:val="28"/>
            </w:rPr>
            <w:t>1.36. 培训费综合定额是否可以调剂使用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_Toc28098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_Toc31878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 xml:space="preserve">1.37. </w:t>
          </w:r>
          <w:r>
            <w:rPr>
              <w:rFonts w:hint="eastAsia" w:ascii="仿宋" w:hAnsi="仿宋" w:eastAsia="仿宋" w:cs="仿宋"/>
              <w:sz w:val="28"/>
              <w:szCs w:val="28"/>
            </w:rPr>
            <w:t>集中批复类科研经费入账</w:t>
          </w:r>
          <w:r>
            <w:rPr>
              <w:rFonts w:hint="eastAsia" w:ascii="仿宋" w:hAnsi="仿宋" w:eastAsia="仿宋" w:cs="仿宋"/>
              <w:sz w:val="28"/>
              <w:szCs w:val="28"/>
              <w:lang w:val="en-US" w:eastAsia="zh-CN"/>
            </w:rPr>
            <w:t>规定</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_Toc31878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_Toc3983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 xml:space="preserve">1.38. </w:t>
          </w:r>
          <w:r>
            <w:rPr>
              <w:rFonts w:hint="eastAsia" w:ascii="仿宋" w:hAnsi="仿宋" w:eastAsia="仿宋" w:cs="仿宋"/>
              <w:sz w:val="28"/>
              <w:szCs w:val="28"/>
            </w:rPr>
            <w:t>单独立项科研经费财务入账手续</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_Toc3983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_Toc9382 </w:instrText>
          </w:r>
          <w:r>
            <w:rPr>
              <w:rFonts w:hint="eastAsia" w:ascii="仿宋" w:hAnsi="仿宋" w:eastAsia="仿宋" w:cs="仿宋"/>
              <w:sz w:val="28"/>
              <w:szCs w:val="28"/>
            </w:rPr>
            <w:fldChar w:fldCharType="separate"/>
          </w:r>
          <w:r>
            <w:rPr>
              <w:rFonts w:hint="eastAsia" w:ascii="仿宋" w:hAnsi="仿宋" w:eastAsia="仿宋" w:cs="仿宋"/>
              <w:sz w:val="28"/>
              <w:szCs w:val="28"/>
            </w:rPr>
            <w:t>1.39. 科研项目经费资金支付是否受公务卡结算条件限制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_Toc9382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_Toc5695 </w:instrText>
          </w:r>
          <w:r>
            <w:rPr>
              <w:rFonts w:hint="eastAsia" w:ascii="仿宋" w:hAnsi="仿宋" w:eastAsia="仿宋" w:cs="仿宋"/>
              <w:sz w:val="28"/>
              <w:szCs w:val="28"/>
            </w:rPr>
            <w:fldChar w:fldCharType="separate"/>
          </w:r>
          <w:r>
            <w:rPr>
              <w:rFonts w:hint="eastAsia" w:ascii="仿宋" w:hAnsi="仿宋" w:eastAsia="仿宋" w:cs="仿宋"/>
              <w:sz w:val="28"/>
              <w:szCs w:val="28"/>
            </w:rPr>
            <w:t>1.40. 科研项目结题决算数据</w:t>
          </w:r>
          <w:r>
            <w:rPr>
              <w:rFonts w:hint="eastAsia" w:ascii="仿宋" w:hAnsi="仿宋" w:eastAsia="仿宋" w:cs="仿宋"/>
              <w:sz w:val="28"/>
              <w:szCs w:val="28"/>
              <w:lang w:val="en-US" w:eastAsia="zh-CN"/>
            </w:rPr>
            <w:t>填报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_Toc5695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_Toc7301 </w:instrText>
          </w:r>
          <w:r>
            <w:rPr>
              <w:rFonts w:hint="eastAsia" w:ascii="仿宋" w:hAnsi="仿宋" w:eastAsia="仿宋" w:cs="仿宋"/>
              <w:sz w:val="28"/>
              <w:szCs w:val="28"/>
            </w:rPr>
            <w:fldChar w:fldCharType="separate"/>
          </w:r>
          <w:r>
            <w:rPr>
              <w:rFonts w:hint="eastAsia" w:ascii="仿宋" w:hAnsi="仿宋" w:eastAsia="仿宋" w:cs="仿宋"/>
              <w:sz w:val="28"/>
              <w:szCs w:val="28"/>
            </w:rPr>
            <w:t>1.41. 科研协作费外拨及项目负责人调离科研经费转出手续</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_Toc7301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_Toc28530 </w:instrText>
          </w:r>
          <w:r>
            <w:rPr>
              <w:rFonts w:hint="eastAsia" w:ascii="仿宋" w:hAnsi="仿宋" w:eastAsia="仿宋" w:cs="仿宋"/>
              <w:sz w:val="28"/>
              <w:szCs w:val="28"/>
            </w:rPr>
            <w:fldChar w:fldCharType="separate"/>
          </w:r>
          <w:r>
            <w:rPr>
              <w:rFonts w:hint="eastAsia" w:ascii="仿宋" w:hAnsi="仿宋" w:eastAsia="仿宋" w:cs="仿宋"/>
              <w:sz w:val="28"/>
              <w:szCs w:val="28"/>
            </w:rPr>
            <w:t>1.42. 举办培训班或学术报告外聘人员酬金发放标准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_Toc28530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_Toc8355 </w:instrText>
          </w:r>
          <w:r>
            <w:rPr>
              <w:rFonts w:hint="eastAsia" w:ascii="仿宋" w:hAnsi="仿宋" w:eastAsia="仿宋" w:cs="仿宋"/>
              <w:sz w:val="28"/>
              <w:szCs w:val="28"/>
            </w:rPr>
            <w:fldChar w:fldCharType="separate"/>
          </w:r>
          <w:r>
            <w:rPr>
              <w:rFonts w:hint="eastAsia" w:ascii="仿宋" w:hAnsi="仿宋" w:eastAsia="仿宋" w:cs="仿宋"/>
              <w:sz w:val="28"/>
              <w:szCs w:val="28"/>
            </w:rPr>
            <w:t>1.43. 借调人员费用及补助报销手续</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_Toc8355 \h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_Toc15764 </w:instrText>
          </w:r>
          <w:r>
            <w:rPr>
              <w:rFonts w:hint="eastAsia" w:ascii="仿宋" w:hAnsi="仿宋" w:eastAsia="仿宋" w:cs="仿宋"/>
              <w:sz w:val="28"/>
              <w:szCs w:val="28"/>
            </w:rPr>
            <w:fldChar w:fldCharType="separate"/>
          </w:r>
          <w:r>
            <w:rPr>
              <w:rFonts w:hint="eastAsia" w:ascii="仿宋" w:hAnsi="仿宋" w:eastAsia="仿宋" w:cs="仿宋"/>
              <w:sz w:val="28"/>
              <w:szCs w:val="28"/>
            </w:rPr>
            <w:t>1.44. 票据借用手续</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_Toc15764 \h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_Toc2530 </w:instrText>
          </w:r>
          <w:r>
            <w:rPr>
              <w:rFonts w:hint="eastAsia" w:ascii="仿宋" w:hAnsi="仿宋" w:eastAsia="仿宋" w:cs="仿宋"/>
              <w:sz w:val="28"/>
              <w:szCs w:val="28"/>
            </w:rPr>
            <w:fldChar w:fldCharType="separate"/>
          </w:r>
          <w:r>
            <w:rPr>
              <w:rFonts w:hint="eastAsia" w:ascii="仿宋" w:hAnsi="仿宋" w:eastAsia="仿宋" w:cs="仿宋"/>
              <w:sz w:val="28"/>
              <w:szCs w:val="28"/>
            </w:rPr>
            <w:t>1.45. 报销维修工程费用需提供材料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_Toc2530 \h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_Toc23944 </w:instrText>
          </w:r>
          <w:r>
            <w:rPr>
              <w:rFonts w:hint="eastAsia" w:ascii="仿宋" w:hAnsi="仿宋" w:eastAsia="仿宋" w:cs="仿宋"/>
              <w:sz w:val="28"/>
              <w:szCs w:val="28"/>
            </w:rPr>
            <w:fldChar w:fldCharType="separate"/>
          </w:r>
          <w:r>
            <w:rPr>
              <w:rFonts w:hint="eastAsia" w:ascii="仿宋" w:hAnsi="仿宋" w:eastAsia="仿宋" w:cs="仿宋"/>
              <w:sz w:val="28"/>
              <w:szCs w:val="28"/>
            </w:rPr>
            <w:t>1.46. 固定资产报增价值标准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_Toc23944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_Toc4885 </w:instrText>
          </w:r>
          <w:r>
            <w:rPr>
              <w:rFonts w:hint="eastAsia" w:ascii="仿宋" w:hAnsi="仿宋" w:eastAsia="仿宋" w:cs="仿宋"/>
              <w:sz w:val="28"/>
              <w:szCs w:val="28"/>
            </w:rPr>
            <w:fldChar w:fldCharType="separate"/>
          </w:r>
          <w:r>
            <w:rPr>
              <w:rFonts w:hint="eastAsia" w:ascii="仿宋" w:hAnsi="仿宋" w:eastAsia="仿宋" w:cs="仿宋"/>
              <w:sz w:val="28"/>
              <w:szCs w:val="28"/>
            </w:rPr>
            <w:t>1.47. 报销固定资产购置费用</w:t>
          </w:r>
          <w:r>
            <w:rPr>
              <w:rFonts w:hint="eastAsia" w:ascii="仿宋" w:hAnsi="仿宋" w:eastAsia="仿宋" w:cs="仿宋"/>
              <w:sz w:val="28"/>
              <w:szCs w:val="28"/>
              <w:lang w:val="en-US" w:eastAsia="zh-CN"/>
            </w:rPr>
            <w:t>需</w:t>
          </w:r>
          <w:r>
            <w:rPr>
              <w:rFonts w:hint="eastAsia" w:ascii="仿宋" w:hAnsi="仿宋" w:eastAsia="仿宋" w:cs="仿宋"/>
              <w:sz w:val="28"/>
              <w:szCs w:val="28"/>
            </w:rPr>
            <w:t>提供材料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_Toc4885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_Toc4708 </w:instrText>
          </w:r>
          <w:r>
            <w:rPr>
              <w:rFonts w:hint="eastAsia" w:ascii="仿宋" w:hAnsi="仿宋" w:eastAsia="仿宋" w:cs="仿宋"/>
              <w:sz w:val="28"/>
              <w:szCs w:val="28"/>
            </w:rPr>
            <w:fldChar w:fldCharType="separate"/>
          </w:r>
          <w:r>
            <w:rPr>
              <w:rFonts w:hint="eastAsia" w:ascii="仿宋" w:hAnsi="仿宋" w:eastAsia="仿宋" w:cs="仿宋"/>
              <w:sz w:val="28"/>
              <w:szCs w:val="28"/>
            </w:rPr>
            <w:t>1.48. 报销图书资料</w:t>
          </w:r>
          <w:r>
            <w:rPr>
              <w:rFonts w:hint="eastAsia" w:ascii="仿宋" w:hAnsi="仿宋" w:eastAsia="仿宋" w:cs="仿宋"/>
              <w:sz w:val="28"/>
              <w:szCs w:val="28"/>
              <w:lang w:val="en-US" w:eastAsia="zh-CN"/>
            </w:rPr>
            <w:t>需</w:t>
          </w:r>
          <w:r>
            <w:rPr>
              <w:rFonts w:hint="eastAsia" w:ascii="仿宋" w:hAnsi="仿宋" w:eastAsia="仿宋" w:cs="仿宋"/>
              <w:sz w:val="28"/>
              <w:szCs w:val="28"/>
            </w:rPr>
            <w:t>提供材料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_Toc4708 \h </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_Toc24641 </w:instrText>
          </w:r>
          <w:r>
            <w:rPr>
              <w:rFonts w:hint="eastAsia" w:ascii="仿宋" w:hAnsi="仿宋" w:eastAsia="仿宋" w:cs="仿宋"/>
              <w:sz w:val="28"/>
              <w:szCs w:val="28"/>
            </w:rPr>
            <w:fldChar w:fldCharType="separate"/>
          </w:r>
          <w:r>
            <w:rPr>
              <w:rFonts w:hint="eastAsia" w:ascii="仿宋" w:hAnsi="仿宋" w:eastAsia="仿宋" w:cs="仿宋"/>
              <w:sz w:val="28"/>
              <w:szCs w:val="28"/>
            </w:rPr>
            <w:t>2. 银行账户、来款、</w:t>
          </w:r>
          <w:r>
            <w:rPr>
              <w:rFonts w:hint="eastAsia" w:ascii="仿宋" w:hAnsi="仿宋" w:eastAsia="仿宋" w:cs="仿宋"/>
              <w:sz w:val="28"/>
              <w:szCs w:val="28"/>
              <w:lang w:val="en-US" w:eastAsia="zh-CN"/>
            </w:rPr>
            <w:t>报销</w:t>
          </w:r>
          <w:r>
            <w:rPr>
              <w:rFonts w:hint="eastAsia" w:ascii="仿宋" w:hAnsi="仿宋" w:eastAsia="仿宋" w:cs="仿宋"/>
              <w:sz w:val="28"/>
              <w:szCs w:val="28"/>
            </w:rPr>
            <w:t>退款</w:t>
          </w:r>
          <w:r>
            <w:rPr>
              <w:rFonts w:hint="eastAsia" w:ascii="仿宋" w:hAnsi="仿宋" w:eastAsia="仿宋" w:cs="仿宋"/>
              <w:sz w:val="28"/>
              <w:szCs w:val="28"/>
              <w:lang w:val="en-US" w:eastAsia="zh-CN"/>
            </w:rPr>
            <w:t>服务指南</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_Toc24641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_Toc20538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2.1. 银行账户信息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_Toc20538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_Toc31950 </w:instrText>
          </w:r>
          <w:r>
            <w:rPr>
              <w:rFonts w:hint="eastAsia" w:ascii="仿宋" w:hAnsi="仿宋" w:eastAsia="仿宋" w:cs="仿宋"/>
              <w:sz w:val="28"/>
              <w:szCs w:val="28"/>
            </w:rPr>
            <w:fldChar w:fldCharType="separate"/>
          </w:r>
          <w:r>
            <w:rPr>
              <w:rFonts w:hint="eastAsia" w:ascii="仿宋" w:hAnsi="仿宋" w:eastAsia="仿宋" w:cs="仿宋"/>
              <w:sz w:val="28"/>
              <w:szCs w:val="28"/>
            </w:rPr>
            <w:t>2.2. 外单位来款到账</w:t>
          </w:r>
          <w:r>
            <w:rPr>
              <w:rFonts w:hint="eastAsia" w:ascii="仿宋" w:hAnsi="仿宋" w:eastAsia="仿宋" w:cs="仿宋"/>
              <w:sz w:val="28"/>
              <w:szCs w:val="28"/>
              <w:lang w:val="en-US" w:eastAsia="zh-CN"/>
            </w:rPr>
            <w:t>查询方式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_Toc31950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_Toc9736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2.3. </w:t>
          </w:r>
          <w:r>
            <w:rPr>
              <w:rFonts w:hint="eastAsia" w:ascii="仿宋" w:hAnsi="仿宋" w:eastAsia="仿宋" w:cs="仿宋"/>
              <w:sz w:val="28"/>
              <w:szCs w:val="28"/>
              <w:lang w:val="en-US" w:eastAsia="zh-CN"/>
            </w:rPr>
            <w:t>报销</w:t>
          </w:r>
          <w:r>
            <w:rPr>
              <w:rFonts w:hint="eastAsia" w:ascii="仿宋" w:hAnsi="仿宋" w:eastAsia="仿宋" w:cs="仿宋"/>
              <w:sz w:val="28"/>
              <w:szCs w:val="28"/>
            </w:rPr>
            <w:t>退款处理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_Toc9736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_Toc28714 </w:instrText>
          </w:r>
          <w:r>
            <w:rPr>
              <w:rFonts w:hint="eastAsia" w:ascii="仿宋" w:hAnsi="仿宋" w:eastAsia="仿宋" w:cs="仿宋"/>
              <w:sz w:val="28"/>
              <w:szCs w:val="28"/>
            </w:rPr>
            <w:fldChar w:fldCharType="separate"/>
          </w:r>
          <w:r>
            <w:rPr>
              <w:rFonts w:hint="eastAsia" w:ascii="仿宋" w:hAnsi="仿宋" w:eastAsia="仿宋" w:cs="仿宋"/>
              <w:sz w:val="28"/>
              <w:szCs w:val="28"/>
            </w:rPr>
            <w:t>3. 公务卡</w:t>
          </w:r>
          <w:r>
            <w:rPr>
              <w:rFonts w:hint="eastAsia" w:ascii="仿宋" w:hAnsi="仿宋" w:eastAsia="仿宋" w:cs="仿宋"/>
              <w:sz w:val="28"/>
              <w:szCs w:val="28"/>
              <w:lang w:val="en-US" w:eastAsia="zh-CN"/>
            </w:rPr>
            <w:t>服务指南</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_Toc28714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_Toc2113 </w:instrText>
          </w:r>
          <w:r>
            <w:rPr>
              <w:rFonts w:hint="eastAsia" w:ascii="仿宋" w:hAnsi="仿宋" w:eastAsia="仿宋" w:cs="仿宋"/>
              <w:sz w:val="28"/>
              <w:szCs w:val="28"/>
            </w:rPr>
            <w:fldChar w:fldCharType="separate"/>
          </w:r>
          <w:r>
            <w:rPr>
              <w:rFonts w:hint="eastAsia" w:ascii="仿宋" w:hAnsi="仿宋" w:eastAsia="仿宋" w:cs="仿宋"/>
              <w:sz w:val="28"/>
              <w:szCs w:val="28"/>
            </w:rPr>
            <w:t>3.1. 公务卡</w:t>
          </w:r>
          <w:r>
            <w:rPr>
              <w:rFonts w:hint="eastAsia" w:ascii="仿宋" w:hAnsi="仿宋" w:eastAsia="仿宋" w:cs="仿宋"/>
              <w:sz w:val="28"/>
              <w:szCs w:val="28"/>
              <w:lang w:val="en-US" w:eastAsia="zh-CN"/>
            </w:rPr>
            <w:t>申领</w:t>
          </w:r>
          <w:r>
            <w:rPr>
              <w:rFonts w:hint="eastAsia" w:ascii="仿宋" w:hAnsi="仿宋" w:eastAsia="仿宋" w:cs="仿宋"/>
              <w:sz w:val="28"/>
              <w:szCs w:val="28"/>
            </w:rPr>
            <w:t>人员</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_Toc2113 \h </w:instrText>
          </w:r>
          <w:r>
            <w:rPr>
              <w:rFonts w:hint="eastAsia" w:ascii="仿宋" w:hAnsi="仿宋" w:eastAsia="仿宋" w:cs="仿宋"/>
              <w:sz w:val="28"/>
              <w:szCs w:val="28"/>
            </w:rPr>
            <w:fldChar w:fldCharType="separate"/>
          </w:r>
          <w:r>
            <w:rPr>
              <w:rFonts w:hint="eastAsia"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_Toc2191 </w:instrText>
          </w:r>
          <w:r>
            <w:rPr>
              <w:rFonts w:hint="eastAsia" w:ascii="仿宋" w:hAnsi="仿宋" w:eastAsia="仿宋" w:cs="仿宋"/>
              <w:sz w:val="28"/>
              <w:szCs w:val="28"/>
            </w:rPr>
            <w:fldChar w:fldCharType="separate"/>
          </w:r>
          <w:r>
            <w:rPr>
              <w:rFonts w:hint="eastAsia" w:ascii="仿宋" w:hAnsi="仿宋" w:eastAsia="仿宋" w:cs="仿宋"/>
              <w:sz w:val="28"/>
              <w:szCs w:val="28"/>
            </w:rPr>
            <w:t>3.2. 公务卡</w:t>
          </w:r>
          <w:r>
            <w:rPr>
              <w:rFonts w:hint="eastAsia" w:ascii="仿宋" w:hAnsi="仿宋" w:eastAsia="仿宋" w:cs="仿宋"/>
              <w:sz w:val="28"/>
              <w:szCs w:val="28"/>
              <w:lang w:val="en-US" w:eastAsia="zh-CN"/>
            </w:rPr>
            <w:t>申领</w:t>
          </w:r>
          <w:r>
            <w:rPr>
              <w:rFonts w:hint="eastAsia" w:ascii="仿宋" w:hAnsi="仿宋" w:eastAsia="仿宋" w:cs="仿宋"/>
              <w:sz w:val="28"/>
              <w:szCs w:val="28"/>
            </w:rPr>
            <w:t>流程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_Toc2191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_Toc31487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 xml:space="preserve">3.3. </w:t>
          </w:r>
          <w:r>
            <w:rPr>
              <w:rFonts w:hint="eastAsia" w:ascii="仿宋" w:hAnsi="仿宋" w:eastAsia="仿宋" w:cs="仿宋"/>
              <w:sz w:val="28"/>
              <w:szCs w:val="28"/>
            </w:rPr>
            <w:t>公务卡号报送</w:t>
          </w:r>
          <w:r>
            <w:rPr>
              <w:rFonts w:hint="eastAsia" w:ascii="仿宋" w:hAnsi="仿宋" w:eastAsia="仿宋" w:cs="仿宋"/>
              <w:sz w:val="28"/>
              <w:szCs w:val="28"/>
              <w:lang w:val="en-US" w:eastAsia="zh-CN"/>
            </w:rPr>
            <w:t>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_Toc31487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_Toc11459 </w:instrText>
          </w:r>
          <w:r>
            <w:rPr>
              <w:rFonts w:hint="eastAsia" w:ascii="仿宋" w:hAnsi="仿宋" w:eastAsia="仿宋" w:cs="仿宋"/>
              <w:sz w:val="28"/>
              <w:szCs w:val="28"/>
            </w:rPr>
            <w:fldChar w:fldCharType="separate"/>
          </w:r>
          <w:r>
            <w:rPr>
              <w:rFonts w:hint="eastAsia" w:ascii="仿宋" w:hAnsi="仿宋" w:eastAsia="仿宋" w:cs="仿宋"/>
              <w:sz w:val="28"/>
              <w:szCs w:val="28"/>
            </w:rPr>
            <w:t>4. 工资</w:t>
          </w:r>
          <w:r>
            <w:rPr>
              <w:rFonts w:hint="eastAsia" w:ascii="仿宋" w:hAnsi="仿宋" w:eastAsia="仿宋" w:cs="仿宋"/>
              <w:sz w:val="28"/>
              <w:szCs w:val="28"/>
              <w:lang w:val="en-US" w:eastAsia="zh-CN"/>
            </w:rPr>
            <w:t>服务指南</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_Toc11459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_Toc29549 </w:instrText>
          </w:r>
          <w:r>
            <w:rPr>
              <w:rFonts w:hint="eastAsia" w:ascii="仿宋" w:hAnsi="仿宋" w:eastAsia="仿宋" w:cs="仿宋"/>
              <w:sz w:val="28"/>
              <w:szCs w:val="28"/>
            </w:rPr>
            <w:fldChar w:fldCharType="separate"/>
          </w:r>
          <w:r>
            <w:rPr>
              <w:rFonts w:hint="eastAsia" w:ascii="仿宋" w:hAnsi="仿宋" w:eastAsia="仿宋" w:cs="仿宋"/>
              <w:sz w:val="28"/>
              <w:szCs w:val="28"/>
            </w:rPr>
            <w:t>4.1. 工资查询</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_Toc29549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_Toc26115 </w:instrText>
          </w:r>
          <w:r>
            <w:rPr>
              <w:rFonts w:hint="eastAsia" w:ascii="仿宋" w:hAnsi="仿宋" w:eastAsia="仿宋" w:cs="仿宋"/>
              <w:sz w:val="28"/>
              <w:szCs w:val="28"/>
            </w:rPr>
            <w:fldChar w:fldCharType="separate"/>
          </w:r>
          <w:r>
            <w:rPr>
              <w:rFonts w:hint="eastAsia" w:ascii="仿宋" w:hAnsi="仿宋" w:eastAsia="仿宋" w:cs="仿宋"/>
              <w:sz w:val="28"/>
              <w:szCs w:val="28"/>
            </w:rPr>
            <w:t>4.2. 个税专项附加扣除信息申报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_Toc26115 \h </w:instrText>
          </w:r>
          <w:r>
            <w:rPr>
              <w:rFonts w:hint="eastAsia" w:ascii="仿宋" w:hAnsi="仿宋" w:eastAsia="仿宋" w:cs="仿宋"/>
              <w:sz w:val="28"/>
              <w:szCs w:val="28"/>
            </w:rPr>
            <w:fldChar w:fldCharType="separate"/>
          </w:r>
          <w:r>
            <w:rPr>
              <w:rFonts w:hint="eastAsia" w:ascii="仿宋" w:hAnsi="仿宋" w:eastAsia="仿宋" w:cs="仿宋"/>
              <w:sz w:val="28"/>
              <w:szCs w:val="28"/>
            </w:rPr>
            <w:t>22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_Toc27442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4.3. 个人所得税年度汇算清缴</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_Toc27442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_Toc29374 </w:instrText>
          </w:r>
          <w:r>
            <w:rPr>
              <w:rFonts w:hint="eastAsia" w:ascii="仿宋" w:hAnsi="仿宋" w:eastAsia="仿宋" w:cs="仿宋"/>
              <w:sz w:val="28"/>
              <w:szCs w:val="28"/>
            </w:rPr>
            <w:fldChar w:fldCharType="separate"/>
          </w:r>
          <w:r>
            <w:rPr>
              <w:rFonts w:hint="eastAsia" w:ascii="仿宋" w:hAnsi="仿宋" w:eastAsia="仿宋" w:cs="仿宋"/>
              <w:sz w:val="28"/>
              <w:szCs w:val="28"/>
            </w:rPr>
            <w:t>4.4. 工资银行卡号变更</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_Toc29374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_Toc19713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 xml:space="preserve">4.5. </w:t>
          </w:r>
          <w:r>
            <w:rPr>
              <w:rFonts w:hint="eastAsia" w:ascii="仿宋" w:hAnsi="仿宋" w:eastAsia="仿宋" w:cs="仿宋"/>
              <w:sz w:val="28"/>
              <w:szCs w:val="28"/>
            </w:rPr>
            <w:t>住房公积金办理</w:t>
          </w:r>
          <w:r>
            <w:rPr>
              <w:rFonts w:hint="eastAsia" w:ascii="仿宋" w:hAnsi="仿宋" w:eastAsia="仿宋" w:cs="仿宋"/>
              <w:sz w:val="28"/>
              <w:szCs w:val="28"/>
              <w:lang w:val="en-US" w:eastAsia="zh-CN"/>
            </w:rPr>
            <w:t>及贷款事宜</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_Toc19713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_Toc2286 </w:instrText>
          </w:r>
          <w:r>
            <w:rPr>
              <w:rFonts w:hint="eastAsia" w:ascii="仿宋" w:hAnsi="仿宋" w:eastAsia="仿宋" w:cs="仿宋"/>
              <w:sz w:val="28"/>
              <w:szCs w:val="28"/>
            </w:rPr>
            <w:fldChar w:fldCharType="separate"/>
          </w:r>
          <w:r>
            <w:rPr>
              <w:rFonts w:hint="eastAsia" w:ascii="仿宋" w:hAnsi="仿宋" w:eastAsia="仿宋" w:cs="仿宋"/>
              <w:sz w:val="28"/>
              <w:szCs w:val="28"/>
            </w:rPr>
            <w:t>5. 校园卡</w:t>
          </w:r>
          <w:r>
            <w:rPr>
              <w:rFonts w:hint="eastAsia" w:ascii="仿宋" w:hAnsi="仿宋" w:eastAsia="仿宋" w:cs="仿宋"/>
              <w:sz w:val="28"/>
              <w:szCs w:val="28"/>
              <w:lang w:val="en-US" w:eastAsia="zh-CN"/>
            </w:rPr>
            <w:t>服务指南</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_Toc2286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_Toc23732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 xml:space="preserve">5.1. </w:t>
          </w:r>
          <w:r>
            <w:rPr>
              <w:rFonts w:hint="eastAsia" w:ascii="仿宋" w:hAnsi="仿宋" w:eastAsia="仿宋" w:cs="仿宋"/>
              <w:sz w:val="28"/>
              <w:szCs w:val="28"/>
            </w:rPr>
            <w:t>校园卡办理</w:t>
          </w:r>
          <w:r>
            <w:rPr>
              <w:rFonts w:hint="eastAsia" w:ascii="仿宋" w:hAnsi="仿宋" w:eastAsia="仿宋" w:cs="仿宋"/>
              <w:sz w:val="28"/>
              <w:szCs w:val="28"/>
              <w:lang w:val="en-US" w:eastAsia="zh-CN"/>
            </w:rPr>
            <w:t>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_Toc23732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_Toc21418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 xml:space="preserve">5.2. </w:t>
          </w:r>
          <w:r>
            <w:rPr>
              <w:rFonts w:hint="eastAsia" w:ascii="仿宋" w:hAnsi="仿宋" w:eastAsia="仿宋" w:cs="仿宋"/>
              <w:sz w:val="28"/>
              <w:szCs w:val="28"/>
            </w:rPr>
            <w:t>校园卡充值</w:t>
          </w:r>
          <w:r>
            <w:rPr>
              <w:rFonts w:hint="eastAsia" w:ascii="仿宋" w:hAnsi="仿宋" w:eastAsia="仿宋" w:cs="仿宋"/>
              <w:sz w:val="28"/>
              <w:szCs w:val="28"/>
              <w:lang w:val="en-US" w:eastAsia="zh-CN"/>
            </w:rPr>
            <w:t>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_Toc21418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_Toc15650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 xml:space="preserve">5.3. </w:t>
          </w:r>
          <w:r>
            <w:rPr>
              <w:rFonts w:hint="eastAsia" w:ascii="仿宋" w:hAnsi="仿宋" w:eastAsia="仿宋" w:cs="仿宋"/>
              <w:sz w:val="28"/>
              <w:szCs w:val="28"/>
            </w:rPr>
            <w:t>校园卡挂失、解挂、余额查询</w:t>
          </w:r>
          <w:r>
            <w:rPr>
              <w:rFonts w:hint="eastAsia" w:ascii="仿宋" w:hAnsi="仿宋" w:eastAsia="仿宋" w:cs="仿宋"/>
              <w:sz w:val="28"/>
              <w:szCs w:val="28"/>
              <w:lang w:val="en-US" w:eastAsia="zh-CN"/>
            </w:rPr>
            <w:t>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_Toc15650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_Toc26141 </w:instrText>
          </w:r>
          <w:r>
            <w:rPr>
              <w:rFonts w:hint="eastAsia" w:ascii="仿宋" w:hAnsi="仿宋" w:eastAsia="仿宋" w:cs="仿宋"/>
              <w:sz w:val="28"/>
              <w:szCs w:val="28"/>
            </w:rPr>
            <w:fldChar w:fldCharType="separate"/>
          </w:r>
          <w:r>
            <w:rPr>
              <w:rFonts w:hint="eastAsia" w:ascii="仿宋" w:hAnsi="仿宋" w:eastAsia="仿宋" w:cs="仿宋"/>
              <w:sz w:val="28"/>
              <w:szCs w:val="28"/>
            </w:rPr>
            <w:t>6. 收费</w:t>
          </w:r>
          <w:r>
            <w:rPr>
              <w:rFonts w:hint="eastAsia" w:ascii="仿宋" w:hAnsi="仿宋" w:eastAsia="仿宋" w:cs="仿宋"/>
              <w:sz w:val="28"/>
              <w:szCs w:val="28"/>
              <w:lang w:val="en-US" w:eastAsia="zh-CN"/>
            </w:rPr>
            <w:t>服务指南</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_Toc26141 \h </w:instrText>
          </w:r>
          <w:r>
            <w:rPr>
              <w:rFonts w:hint="eastAsia" w:ascii="仿宋" w:hAnsi="仿宋" w:eastAsia="仿宋" w:cs="仿宋"/>
              <w:sz w:val="28"/>
              <w:szCs w:val="28"/>
            </w:rPr>
            <w:fldChar w:fldCharType="separate"/>
          </w:r>
          <w:r>
            <w:rPr>
              <w:rFonts w:hint="eastAsia" w:ascii="仿宋" w:hAnsi="仿宋" w:eastAsia="仿宋" w:cs="仿宋"/>
              <w:sz w:val="28"/>
              <w:szCs w:val="28"/>
            </w:rPr>
            <w:t>26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_Toc2481 </w:instrText>
          </w:r>
          <w:r>
            <w:rPr>
              <w:rFonts w:hint="eastAsia" w:ascii="仿宋" w:hAnsi="仿宋" w:eastAsia="仿宋" w:cs="仿宋"/>
              <w:sz w:val="28"/>
              <w:szCs w:val="28"/>
            </w:rPr>
            <w:fldChar w:fldCharType="separate"/>
          </w:r>
          <w:r>
            <w:rPr>
              <w:rFonts w:hint="eastAsia" w:ascii="仿宋" w:hAnsi="仿宋" w:eastAsia="仿宋" w:cs="仿宋"/>
              <w:sz w:val="28"/>
              <w:szCs w:val="28"/>
              <w:lang w:val="en-US" w:eastAsia="zh-CN"/>
            </w:rPr>
            <w:t xml:space="preserve">6.1. </w:t>
          </w:r>
          <w:r>
            <w:rPr>
              <w:rFonts w:hint="eastAsia" w:ascii="仿宋" w:hAnsi="仿宋" w:eastAsia="仿宋" w:cs="仿宋"/>
              <w:sz w:val="28"/>
              <w:szCs w:val="28"/>
            </w:rPr>
            <w:t>学生缴费</w:t>
          </w:r>
          <w:r>
            <w:rPr>
              <w:rFonts w:hint="eastAsia" w:ascii="仿宋" w:hAnsi="仿宋" w:eastAsia="仿宋" w:cs="仿宋"/>
              <w:sz w:val="28"/>
              <w:szCs w:val="28"/>
              <w:lang w:val="en-US" w:eastAsia="zh-CN"/>
            </w:rPr>
            <w:t>登录方式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_Toc2481 \h </w:instrText>
          </w:r>
          <w:r>
            <w:rPr>
              <w:rFonts w:hint="eastAsia" w:ascii="仿宋" w:hAnsi="仿宋" w:eastAsia="仿宋" w:cs="仿宋"/>
              <w:sz w:val="28"/>
              <w:szCs w:val="28"/>
            </w:rPr>
            <w:fldChar w:fldCharType="separate"/>
          </w:r>
          <w:r>
            <w:rPr>
              <w:rFonts w:hint="eastAsia" w:ascii="仿宋" w:hAnsi="仿宋" w:eastAsia="仿宋" w:cs="仿宋"/>
              <w:sz w:val="28"/>
              <w:szCs w:val="28"/>
            </w:rPr>
            <w:t>26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_Toc5978 </w:instrText>
          </w:r>
          <w:r>
            <w:rPr>
              <w:rFonts w:hint="eastAsia" w:ascii="仿宋" w:hAnsi="仿宋" w:eastAsia="仿宋" w:cs="仿宋"/>
              <w:sz w:val="28"/>
              <w:szCs w:val="28"/>
            </w:rPr>
            <w:fldChar w:fldCharType="separate"/>
          </w:r>
          <w:r>
            <w:rPr>
              <w:rFonts w:hint="eastAsia" w:ascii="仿宋" w:hAnsi="仿宋" w:eastAsia="仿宋" w:cs="仿宋"/>
              <w:sz w:val="28"/>
              <w:szCs w:val="28"/>
            </w:rPr>
            <w:t>6.2. 其他收费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_Toc5978 \h </w:instrText>
          </w:r>
          <w:r>
            <w:rPr>
              <w:rFonts w:hint="eastAsia" w:ascii="仿宋" w:hAnsi="仿宋" w:eastAsia="仿宋" w:cs="仿宋"/>
              <w:sz w:val="28"/>
              <w:szCs w:val="28"/>
            </w:rPr>
            <w:fldChar w:fldCharType="separate"/>
          </w:r>
          <w:r>
            <w:rPr>
              <w:rFonts w:hint="eastAsia" w:ascii="仿宋" w:hAnsi="仿宋" w:eastAsia="仿宋" w:cs="仿宋"/>
              <w:sz w:val="28"/>
              <w:szCs w:val="28"/>
            </w:rPr>
            <w:t>26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keepNext w:val="0"/>
            <w:keepLines w:val="0"/>
            <w:pageBreakBefore w:val="0"/>
            <w:widowControl w:val="0"/>
            <w:kinsoku/>
            <w:wordWrap/>
            <w:overflowPunct/>
            <w:topLinePunct w:val="0"/>
            <w:autoSpaceDE/>
            <w:autoSpaceDN/>
            <w:bidi w:val="0"/>
            <w:adjustRightInd/>
            <w:snapToGrid/>
            <w:spacing w:line="460" w:lineRule="exact"/>
            <w:textAlignment w:val="auto"/>
            <w:rPr>
              <w:b/>
              <w:sz w:val="24"/>
              <w:szCs w:val="24"/>
            </w:rPr>
          </w:pPr>
          <w:r>
            <w:rPr>
              <w:rFonts w:hint="eastAsia" w:ascii="仿宋" w:hAnsi="仿宋" w:eastAsia="仿宋" w:cs="仿宋"/>
              <w:sz w:val="28"/>
              <w:szCs w:val="28"/>
            </w:rPr>
            <w:fldChar w:fldCharType="end"/>
          </w:r>
        </w:p>
      </w:sdtContent>
    </w:sdt>
    <w:p>
      <w:pPr>
        <w:rPr>
          <w:b/>
        </w:rPr>
      </w:pPr>
    </w:p>
    <w:p>
      <w:pPr>
        <w:rPr>
          <w:b/>
        </w:rPr>
      </w:pPr>
    </w:p>
    <w:p>
      <w:pPr>
        <w:rPr>
          <w:b/>
        </w:rPr>
      </w:pPr>
    </w:p>
    <w:p>
      <w:pPr>
        <w:rPr>
          <w:b/>
        </w:rPr>
      </w:pPr>
    </w:p>
    <w:p>
      <w:pPr>
        <w:rPr>
          <w:b/>
        </w:rPr>
      </w:pPr>
    </w:p>
    <w:p>
      <w:pPr>
        <w:rPr>
          <w:b/>
        </w:rPr>
      </w:pPr>
    </w:p>
    <w:p>
      <w:pPr>
        <w:rPr>
          <w:b/>
        </w:rPr>
      </w:pPr>
    </w:p>
    <w:p>
      <w:pPr>
        <w:pStyle w:val="2"/>
        <w:bidi w:val="0"/>
        <w:ind w:left="0" w:leftChars="0" w:firstLine="0" w:firstLineChars="0"/>
        <w:outlineLvl w:val="0"/>
        <w:rPr>
          <w:rFonts w:hint="eastAsia" w:ascii="仿宋" w:hAnsi="仿宋" w:eastAsia="仿宋" w:cs="仿宋"/>
          <w:b/>
          <w:sz w:val="32"/>
          <w:szCs w:val="32"/>
          <w:lang w:val="en-US" w:eastAsia="zh-CN"/>
        </w:rPr>
      </w:pPr>
      <w:bookmarkStart w:id="0" w:name="_Toc10767"/>
      <w:bookmarkStart w:id="1" w:name="_Toc8829"/>
      <w:bookmarkStart w:id="2" w:name="_Toc15182"/>
      <w:bookmarkStart w:id="3" w:name="_Toc6261"/>
      <w:r>
        <w:rPr>
          <w:rFonts w:hint="eastAsia" w:ascii="仿宋" w:hAnsi="仿宋" w:eastAsia="仿宋" w:cs="仿宋"/>
        </w:rPr>
        <w:t>财务报销</w:t>
      </w:r>
      <w:r>
        <w:rPr>
          <w:rFonts w:hint="eastAsia" w:ascii="仿宋" w:hAnsi="仿宋" w:eastAsia="仿宋" w:cs="仿宋"/>
          <w:lang w:val="en-US" w:eastAsia="zh-CN"/>
        </w:rPr>
        <w:t>服务指南</w:t>
      </w:r>
      <w:bookmarkEnd w:id="0"/>
      <w:bookmarkEnd w:id="1"/>
      <w:bookmarkEnd w:id="2"/>
      <w:bookmarkEnd w:id="3"/>
    </w:p>
    <w:p>
      <w:pPr>
        <w:pStyle w:val="3"/>
        <w:bidi w:val="0"/>
        <w:rPr>
          <w:rFonts w:hint="eastAsia" w:ascii="仿宋" w:hAnsi="仿宋" w:eastAsia="仿宋" w:cs="仿宋"/>
        </w:rPr>
      </w:pPr>
      <w:bookmarkStart w:id="4" w:name="_Toc29624"/>
      <w:bookmarkStart w:id="5" w:name="_Toc3885"/>
      <w:bookmarkStart w:id="6" w:name="_Toc31402"/>
      <w:bookmarkStart w:id="7" w:name="_Toc31004"/>
      <w:r>
        <w:rPr>
          <w:rFonts w:hint="eastAsia" w:ascii="仿宋" w:hAnsi="仿宋" w:eastAsia="仿宋" w:cs="仿宋"/>
        </w:rPr>
        <w:t>财务报销经费审批遵循的基本原则</w:t>
      </w:r>
      <w:bookmarkEnd w:id="4"/>
      <w:bookmarkEnd w:id="5"/>
      <w:bookmarkEnd w:id="6"/>
      <w:bookmarkEnd w:id="7"/>
    </w:p>
    <w:p>
      <w:pPr>
        <w:ind w:firstLine="560" w:firstLineChars="200"/>
        <w:rPr>
          <w:rFonts w:hint="eastAsia" w:ascii="仿宋" w:hAnsi="仿宋" w:eastAsia="仿宋" w:cs="仿宋"/>
          <w:sz w:val="28"/>
          <w:szCs w:val="28"/>
        </w:rPr>
      </w:pPr>
      <w:r>
        <w:rPr>
          <w:rFonts w:hint="eastAsia" w:ascii="仿宋" w:hAnsi="仿宋" w:eastAsia="仿宋" w:cs="仿宋"/>
          <w:sz w:val="28"/>
          <w:szCs w:val="28"/>
        </w:rPr>
        <w:t>单位负责人或项目负责人（即经费签批人）对所签批单据的真实性、合法性负责，单位负责人或项目负责人应当在自己的审批权限内审批签字。原始凭证应当真实、合法、完整、有效。对不真实、不合法、不规范的原始凭证，经办人不得接收、单位负责人或项目负责人不得签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各项经费的开支须严格执行预算，严禁无预算、超预算支出；各项目经费必须按规定的范围列支，不得超范围使用,不得列支明令禁止的费用。</w:t>
      </w:r>
    </w:p>
    <w:p>
      <w:pPr>
        <w:pStyle w:val="3"/>
        <w:bidi w:val="0"/>
        <w:rPr>
          <w:rFonts w:hint="eastAsia" w:ascii="仿宋" w:hAnsi="仿宋" w:eastAsia="仿宋" w:cs="仿宋"/>
          <w:lang w:val="en-US" w:eastAsia="zh-CN"/>
        </w:rPr>
      </w:pPr>
      <w:bookmarkStart w:id="8" w:name="_Toc8282"/>
      <w:bookmarkStart w:id="9" w:name="_Toc23341"/>
      <w:bookmarkStart w:id="10" w:name="_Toc31611"/>
      <w:bookmarkStart w:id="11" w:name="_Toc791"/>
      <w:r>
        <w:rPr>
          <w:rFonts w:hint="eastAsia" w:ascii="仿宋" w:hAnsi="仿宋" w:eastAsia="仿宋" w:cs="仿宋"/>
        </w:rPr>
        <w:t>网上报账</w:t>
      </w:r>
      <w:r>
        <w:rPr>
          <w:rFonts w:hint="eastAsia" w:ascii="仿宋" w:hAnsi="仿宋" w:eastAsia="仿宋" w:cs="仿宋"/>
          <w:lang w:val="en-US" w:eastAsia="zh-CN"/>
        </w:rPr>
        <w:t>业务范围</w:t>
      </w:r>
      <w:bookmarkEnd w:id="8"/>
      <w:bookmarkEnd w:id="9"/>
      <w:bookmarkEnd w:id="10"/>
      <w:bookmarkEnd w:id="11"/>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除</w:t>
      </w:r>
      <w:r>
        <w:rPr>
          <w:rFonts w:hint="eastAsia" w:ascii="仿宋" w:hAnsi="仿宋" w:eastAsia="仿宋" w:cs="仿宋"/>
          <w:sz w:val="28"/>
          <w:szCs w:val="28"/>
        </w:rPr>
        <w:t>工会经费报销、固定资产入账、学生奖助学金及劳务费用发放、大学生创新项目以及没有单独设立财务项目编号的研究类项目报销时不能实行网上报销</w:t>
      </w:r>
      <w:r>
        <w:rPr>
          <w:rFonts w:hint="eastAsia" w:ascii="仿宋" w:hAnsi="仿宋" w:eastAsia="仿宋" w:cs="仿宋"/>
          <w:sz w:val="28"/>
          <w:szCs w:val="28"/>
          <w:lang w:val="en-US" w:eastAsia="zh-CN"/>
        </w:rPr>
        <w:t>外，</w:t>
      </w:r>
      <w:r>
        <w:rPr>
          <w:rFonts w:hint="eastAsia" w:ascii="仿宋" w:hAnsi="仿宋" w:eastAsia="仿宋" w:cs="仿宋"/>
          <w:sz w:val="28"/>
          <w:szCs w:val="28"/>
        </w:rPr>
        <w:t>其他报销</w:t>
      </w:r>
      <w:r>
        <w:rPr>
          <w:rFonts w:hint="eastAsia" w:ascii="仿宋" w:hAnsi="仿宋" w:eastAsia="仿宋" w:cs="仿宋"/>
          <w:sz w:val="28"/>
          <w:szCs w:val="28"/>
          <w:lang w:val="en-US" w:eastAsia="zh-CN"/>
        </w:rPr>
        <w:t>业务</w:t>
      </w:r>
      <w:r>
        <w:rPr>
          <w:rFonts w:hint="eastAsia" w:ascii="仿宋" w:hAnsi="仿宋" w:eastAsia="仿宋" w:cs="仿宋"/>
          <w:sz w:val="28"/>
          <w:szCs w:val="28"/>
        </w:rPr>
        <w:t>均可通过网上报账系统处理</w:t>
      </w:r>
      <w:r>
        <w:rPr>
          <w:rFonts w:hint="eastAsia" w:ascii="仿宋" w:hAnsi="仿宋" w:eastAsia="仿宋" w:cs="仿宋"/>
          <w:sz w:val="28"/>
          <w:szCs w:val="28"/>
          <w:lang w:eastAsia="zh-CN"/>
        </w:rPr>
        <w:t>。</w:t>
      </w:r>
      <w:r>
        <w:rPr>
          <w:rFonts w:hint="eastAsia" w:ascii="仿宋" w:hAnsi="仿宋" w:eastAsia="仿宋" w:cs="仿宋"/>
          <w:sz w:val="28"/>
          <w:szCs w:val="28"/>
        </w:rPr>
        <w:t>可以网上报账的业务，现场柜台</w:t>
      </w:r>
      <w:r>
        <w:rPr>
          <w:rFonts w:hint="eastAsia" w:ascii="仿宋" w:hAnsi="仿宋" w:eastAsia="仿宋" w:cs="仿宋"/>
          <w:sz w:val="28"/>
          <w:szCs w:val="28"/>
          <w:lang w:val="en-US" w:eastAsia="zh-CN"/>
        </w:rPr>
        <w:t>一般</w:t>
      </w:r>
      <w:r>
        <w:rPr>
          <w:rFonts w:hint="eastAsia" w:ascii="仿宋" w:hAnsi="仿宋" w:eastAsia="仿宋" w:cs="仿宋"/>
          <w:sz w:val="28"/>
          <w:szCs w:val="28"/>
        </w:rPr>
        <w:t>不再</w:t>
      </w:r>
      <w:r>
        <w:rPr>
          <w:rFonts w:hint="eastAsia" w:ascii="仿宋" w:hAnsi="仿宋" w:eastAsia="仿宋" w:cs="仿宋"/>
          <w:sz w:val="28"/>
          <w:szCs w:val="28"/>
          <w:lang w:val="en-US" w:eastAsia="zh-CN"/>
        </w:rPr>
        <w:t>报销</w:t>
      </w:r>
      <w:r>
        <w:rPr>
          <w:rFonts w:hint="eastAsia" w:ascii="仿宋" w:hAnsi="仿宋" w:eastAsia="仿宋" w:cs="仿宋"/>
          <w:sz w:val="28"/>
          <w:szCs w:val="28"/>
        </w:rPr>
        <w:t>。</w:t>
      </w:r>
    </w:p>
    <w:p>
      <w:pPr>
        <w:pStyle w:val="3"/>
        <w:bidi w:val="0"/>
        <w:rPr>
          <w:rFonts w:hint="eastAsia" w:ascii="仿宋" w:hAnsi="仿宋" w:eastAsia="仿宋" w:cs="仿宋"/>
        </w:rPr>
      </w:pPr>
      <w:bookmarkStart w:id="12" w:name="_Toc13310"/>
      <w:bookmarkStart w:id="13" w:name="_Toc30561"/>
      <w:bookmarkStart w:id="14" w:name="_Toc31326"/>
      <w:bookmarkStart w:id="15" w:name="_Toc15424"/>
      <w:r>
        <w:rPr>
          <w:rFonts w:hint="eastAsia" w:ascii="仿宋" w:hAnsi="仿宋" w:eastAsia="仿宋" w:cs="仿宋"/>
        </w:rPr>
        <w:t>网上报账流程</w:t>
      </w:r>
      <w:bookmarkEnd w:id="12"/>
      <w:bookmarkEnd w:id="13"/>
      <w:bookmarkEnd w:id="14"/>
      <w:bookmarkEnd w:id="15"/>
    </w:p>
    <w:p>
      <w:pPr>
        <w:ind w:firstLine="560" w:firstLineChars="200"/>
        <w:rPr>
          <w:rFonts w:hint="eastAsia" w:ascii="仿宋" w:hAnsi="仿宋" w:eastAsia="仿宋" w:cs="仿宋"/>
          <w:sz w:val="28"/>
          <w:szCs w:val="28"/>
        </w:rPr>
      </w:pPr>
      <w:r>
        <w:rPr>
          <w:rFonts w:hint="eastAsia" w:ascii="仿宋" w:hAnsi="仿宋" w:eastAsia="仿宋" w:cs="仿宋"/>
          <w:sz w:val="28"/>
          <w:szCs w:val="28"/>
        </w:rPr>
        <w:t>网上报账的具体流程：教职工登录网上报账系统—录入报账信息—打印预约报销单—到财务大厅提交单据—会计审核核算—会计复核记账—结算支付。</w:t>
      </w:r>
    </w:p>
    <w:p>
      <w:pPr>
        <w:pStyle w:val="3"/>
        <w:bidi w:val="0"/>
        <w:rPr>
          <w:rFonts w:hint="eastAsia" w:ascii="仿宋" w:hAnsi="仿宋" w:eastAsia="仿宋" w:cs="仿宋"/>
        </w:rPr>
      </w:pPr>
      <w:bookmarkStart w:id="16" w:name="_Toc25699"/>
      <w:bookmarkStart w:id="17" w:name="_Toc12959"/>
      <w:bookmarkStart w:id="18" w:name="_Toc18192"/>
      <w:bookmarkStart w:id="19" w:name="_Toc15113"/>
      <w:r>
        <w:rPr>
          <w:rFonts w:hint="eastAsia" w:ascii="仿宋" w:hAnsi="仿宋" w:eastAsia="仿宋" w:cs="仿宋"/>
        </w:rPr>
        <w:t>发票</w:t>
      </w:r>
      <w:r>
        <w:rPr>
          <w:rFonts w:hint="eastAsia" w:ascii="仿宋" w:hAnsi="仿宋" w:eastAsia="仿宋" w:cs="仿宋"/>
          <w:lang w:val="en-US" w:eastAsia="zh-CN"/>
        </w:rPr>
        <w:t>开具注意事项</w:t>
      </w:r>
      <w:bookmarkEnd w:id="16"/>
      <w:bookmarkEnd w:id="17"/>
      <w:bookmarkEnd w:id="18"/>
      <w:bookmarkEnd w:id="19"/>
      <w:r>
        <w:rPr>
          <w:rFonts w:hint="eastAsia" w:ascii="仿宋" w:hAnsi="仿宋" w:eastAsia="仿宋" w:cs="仿宋"/>
        </w:rPr>
        <w:t xml:space="preserve"> </w:t>
      </w:r>
    </w:p>
    <w:p>
      <w:pPr>
        <w:ind w:firstLine="560" w:firstLineChars="200"/>
        <w:outlineLvl w:val="2"/>
        <w:rPr>
          <w:rFonts w:hint="eastAsia" w:ascii="仿宋" w:hAnsi="仿宋" w:eastAsia="仿宋" w:cs="仿宋"/>
          <w:sz w:val="28"/>
          <w:szCs w:val="28"/>
        </w:rPr>
      </w:pPr>
      <w:bookmarkStart w:id="20" w:name="_Toc29127"/>
      <w:r>
        <w:rPr>
          <w:rFonts w:hint="eastAsia" w:ascii="仿宋" w:hAnsi="仿宋" w:eastAsia="仿宋" w:cs="仿宋"/>
          <w:sz w:val="28"/>
          <w:szCs w:val="28"/>
        </w:rPr>
        <w:t>（1）关注印章</w:t>
      </w:r>
      <w:bookmarkEnd w:id="20"/>
    </w:p>
    <w:p>
      <w:pPr>
        <w:ind w:firstLine="560" w:firstLineChars="200"/>
        <w:rPr>
          <w:rFonts w:hint="eastAsia" w:ascii="仿宋" w:hAnsi="仿宋" w:eastAsia="仿宋" w:cs="仿宋"/>
          <w:sz w:val="28"/>
          <w:szCs w:val="28"/>
        </w:rPr>
      </w:pPr>
      <w:r>
        <w:rPr>
          <w:rFonts w:hint="eastAsia" w:ascii="仿宋" w:hAnsi="仿宋" w:eastAsia="仿宋" w:cs="仿宋"/>
          <w:sz w:val="28"/>
          <w:szCs w:val="28"/>
        </w:rPr>
        <w:t>发票须印有全国统一发票监制章，并加盖开票单位“发票专用章”，在税务机关规定的有效期内使用。</w:t>
      </w:r>
    </w:p>
    <w:p>
      <w:pPr>
        <w:ind w:firstLine="560" w:firstLineChars="200"/>
        <w:outlineLvl w:val="2"/>
        <w:rPr>
          <w:rFonts w:hint="eastAsia" w:ascii="仿宋" w:hAnsi="仿宋" w:eastAsia="仿宋" w:cs="仿宋"/>
          <w:sz w:val="28"/>
          <w:szCs w:val="28"/>
        </w:rPr>
      </w:pPr>
      <w:bookmarkStart w:id="21" w:name="_Toc18925"/>
      <w:r>
        <w:rPr>
          <w:rFonts w:hint="eastAsia" w:ascii="仿宋" w:hAnsi="仿宋" w:eastAsia="仿宋" w:cs="仿宋"/>
          <w:sz w:val="28"/>
          <w:szCs w:val="28"/>
        </w:rPr>
        <w:t>（2）关注抬头</w:t>
      </w:r>
      <w:bookmarkEnd w:id="21"/>
    </w:p>
    <w:p>
      <w:pPr>
        <w:ind w:firstLine="560" w:firstLineChars="200"/>
        <w:rPr>
          <w:rFonts w:hint="eastAsia" w:ascii="仿宋" w:hAnsi="仿宋" w:eastAsia="仿宋" w:cs="仿宋"/>
          <w:sz w:val="28"/>
          <w:szCs w:val="28"/>
        </w:rPr>
      </w:pPr>
      <w:r>
        <w:rPr>
          <w:rFonts w:hint="eastAsia" w:ascii="仿宋" w:hAnsi="仿宋" w:eastAsia="仿宋" w:cs="仿宋"/>
          <w:sz w:val="28"/>
          <w:szCs w:val="28"/>
        </w:rPr>
        <w:t>使用学校资金时，发票购买方名称应统一为“聊城大学”，购买方纳税人识别号为：123700004955435245。</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使用工会经费时，发票购买方名称应统一为“中国教育工会聊城大学委员会”，购买方纳税人识别号为：81371500MC0643528E。</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使用</w:t>
      </w:r>
      <w:r>
        <w:rPr>
          <w:rFonts w:hint="eastAsia" w:ascii="仿宋" w:hAnsi="仿宋" w:eastAsia="仿宋" w:cs="仿宋"/>
          <w:sz w:val="28"/>
          <w:szCs w:val="28"/>
          <w:lang w:val="en-US" w:eastAsia="zh-CN"/>
        </w:rPr>
        <w:t>聊城大学教育发展基金会资金</w:t>
      </w:r>
      <w:r>
        <w:rPr>
          <w:rFonts w:hint="eastAsia" w:ascii="仿宋" w:hAnsi="仿宋" w:eastAsia="仿宋" w:cs="仿宋"/>
          <w:sz w:val="28"/>
          <w:szCs w:val="28"/>
        </w:rPr>
        <w:t>时，发票购买方名称应统一为“聊城大学教育发展基金会”，购买方纳税人识别号为：53370000MJD675529T。</w:t>
      </w:r>
    </w:p>
    <w:p>
      <w:pPr>
        <w:ind w:firstLine="560" w:firstLineChars="200"/>
        <w:outlineLvl w:val="2"/>
        <w:rPr>
          <w:rFonts w:hint="eastAsia" w:ascii="仿宋" w:hAnsi="仿宋" w:eastAsia="仿宋" w:cs="仿宋"/>
          <w:sz w:val="28"/>
          <w:szCs w:val="28"/>
        </w:rPr>
      </w:pPr>
      <w:bookmarkStart w:id="22" w:name="_Toc20044"/>
      <w:r>
        <w:rPr>
          <w:rFonts w:hint="eastAsia" w:ascii="仿宋" w:hAnsi="仿宋" w:eastAsia="仿宋" w:cs="仿宋"/>
          <w:sz w:val="28"/>
          <w:szCs w:val="28"/>
        </w:rPr>
        <w:t>（3）关注内容</w:t>
      </w:r>
      <w:bookmarkEnd w:id="22"/>
    </w:p>
    <w:p>
      <w:pPr>
        <w:ind w:firstLine="560" w:firstLineChars="200"/>
        <w:rPr>
          <w:rFonts w:hint="eastAsia" w:ascii="仿宋" w:hAnsi="仿宋" w:eastAsia="仿宋" w:cs="仿宋"/>
          <w:b/>
          <w:sz w:val="28"/>
          <w:szCs w:val="28"/>
        </w:rPr>
      </w:pPr>
      <w:r>
        <w:rPr>
          <w:rFonts w:hint="eastAsia" w:ascii="仿宋" w:hAnsi="仿宋" w:eastAsia="仿宋" w:cs="仿宋"/>
          <w:sz w:val="28"/>
          <w:szCs w:val="28"/>
        </w:rPr>
        <w:t>发票要素填写必须齐全、字迹清晰，大小写金额一致，不得涂改、挖补。发票内容有误的，应当由出具单位重开或者更正，更正处应当加盖出具单位的印章，</w:t>
      </w:r>
      <w:r>
        <w:rPr>
          <w:rFonts w:hint="eastAsia" w:ascii="仿宋" w:hAnsi="仿宋" w:eastAsia="仿宋" w:cs="仿宋"/>
          <w:sz w:val="28"/>
          <w:szCs w:val="28"/>
          <w:lang w:val="en-US" w:eastAsia="zh-CN"/>
        </w:rPr>
        <w:t>若</w:t>
      </w:r>
      <w:r>
        <w:rPr>
          <w:rFonts w:hint="eastAsia" w:ascii="仿宋" w:hAnsi="仿宋" w:eastAsia="仿宋" w:cs="仿宋"/>
          <w:sz w:val="28"/>
          <w:szCs w:val="28"/>
        </w:rPr>
        <w:t>金额有错误，必须重开。</w:t>
      </w:r>
    </w:p>
    <w:p>
      <w:pPr>
        <w:pStyle w:val="3"/>
        <w:bidi w:val="0"/>
        <w:rPr>
          <w:rFonts w:hint="eastAsia" w:ascii="仿宋" w:hAnsi="仿宋" w:eastAsia="仿宋" w:cs="仿宋"/>
        </w:rPr>
      </w:pPr>
      <w:bookmarkStart w:id="23" w:name="_Toc6567"/>
      <w:bookmarkStart w:id="24" w:name="_Toc7411"/>
      <w:bookmarkStart w:id="25" w:name="_Toc407"/>
      <w:bookmarkStart w:id="26" w:name="_Toc9813"/>
      <w:r>
        <w:rPr>
          <w:rFonts w:hint="eastAsia" w:ascii="仿宋" w:hAnsi="仿宋" w:eastAsia="仿宋" w:cs="仿宋"/>
          <w:lang w:val="en-US" w:eastAsia="zh-CN"/>
        </w:rPr>
        <w:t>何类</w:t>
      </w:r>
      <w:r>
        <w:rPr>
          <w:rFonts w:hint="eastAsia" w:ascii="仿宋" w:hAnsi="仿宋" w:eastAsia="仿宋" w:cs="仿宋"/>
        </w:rPr>
        <w:t>发票需附明细清单</w:t>
      </w:r>
      <w:bookmarkEnd w:id="23"/>
      <w:bookmarkEnd w:id="24"/>
      <w:bookmarkEnd w:id="25"/>
      <w:bookmarkEnd w:id="26"/>
    </w:p>
    <w:p>
      <w:pPr>
        <w:ind w:firstLine="560" w:firstLineChars="200"/>
        <w:rPr>
          <w:rFonts w:hint="eastAsia" w:ascii="仿宋" w:hAnsi="仿宋" w:eastAsia="仿宋" w:cs="仿宋"/>
          <w:sz w:val="28"/>
          <w:szCs w:val="28"/>
        </w:rPr>
      </w:pPr>
      <w:r>
        <w:rPr>
          <w:rFonts w:hint="eastAsia" w:ascii="仿宋" w:hAnsi="仿宋" w:eastAsia="仿宋" w:cs="仿宋"/>
          <w:sz w:val="28"/>
          <w:szCs w:val="28"/>
        </w:rPr>
        <w:t>发票开具内容不具体或无法列清单价、数量的，须附加盖对方单位印章的明细清单。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网上购物取得的发票，如未列清明细内容，需附网络订单截图作为明细清单。</w:t>
      </w:r>
    </w:p>
    <w:p>
      <w:pPr>
        <w:pStyle w:val="3"/>
        <w:bidi w:val="0"/>
        <w:rPr>
          <w:rFonts w:hint="eastAsia" w:ascii="仿宋" w:hAnsi="仿宋" w:eastAsia="仿宋" w:cs="仿宋"/>
        </w:rPr>
      </w:pPr>
      <w:bookmarkStart w:id="27" w:name="_Toc20286"/>
      <w:bookmarkStart w:id="28" w:name="_Toc29025"/>
      <w:bookmarkStart w:id="29" w:name="_Toc30252"/>
      <w:bookmarkStart w:id="30" w:name="_Toc7199"/>
      <w:r>
        <w:rPr>
          <w:rFonts w:hint="eastAsia" w:ascii="仿宋" w:hAnsi="仿宋" w:eastAsia="仿宋" w:cs="仿宋"/>
        </w:rPr>
        <w:t>发票列明“详见销货清单”字样的，对“销货清单”有何要求</w:t>
      </w:r>
      <w:bookmarkEnd w:id="27"/>
      <w:bookmarkEnd w:id="28"/>
      <w:bookmarkEnd w:id="29"/>
      <w:bookmarkEnd w:id="30"/>
    </w:p>
    <w:p>
      <w:pPr>
        <w:ind w:firstLine="560" w:firstLineChars="200"/>
        <w:rPr>
          <w:rFonts w:hint="eastAsia" w:ascii="仿宋" w:hAnsi="仿宋" w:eastAsia="仿宋" w:cs="仿宋"/>
          <w:sz w:val="28"/>
          <w:szCs w:val="28"/>
        </w:rPr>
      </w:pPr>
      <w:r>
        <w:rPr>
          <w:rFonts w:hint="eastAsia" w:ascii="仿宋" w:hAnsi="仿宋" w:eastAsia="仿宋" w:cs="仿宋"/>
          <w:sz w:val="28"/>
          <w:szCs w:val="28"/>
        </w:rPr>
        <w:t>销货清单应通过税控系统开具，不可用销售方自制明细代替，销货清单要加盖与开具发票单位名称一致的发票专用章。</w:t>
      </w:r>
    </w:p>
    <w:p>
      <w:pPr>
        <w:pStyle w:val="3"/>
        <w:bidi w:val="0"/>
        <w:rPr>
          <w:rFonts w:hint="eastAsia" w:ascii="仿宋" w:hAnsi="仿宋" w:eastAsia="仿宋" w:cs="仿宋"/>
        </w:rPr>
      </w:pPr>
      <w:bookmarkStart w:id="31" w:name="_Toc23003"/>
      <w:bookmarkStart w:id="32" w:name="_Toc13122"/>
      <w:bookmarkStart w:id="33" w:name="_Toc2002"/>
      <w:bookmarkStart w:id="34" w:name="_Toc14520"/>
      <w:r>
        <w:rPr>
          <w:rFonts w:hint="eastAsia" w:ascii="仿宋" w:hAnsi="仿宋" w:eastAsia="仿宋" w:cs="仿宋"/>
        </w:rPr>
        <w:t>增值税普通发票、增值税专用发票、电子发票、定额发票都可以报销吗</w:t>
      </w:r>
      <w:bookmarkEnd w:id="31"/>
      <w:bookmarkEnd w:id="32"/>
      <w:bookmarkEnd w:id="33"/>
      <w:bookmarkEnd w:id="34"/>
    </w:p>
    <w:p>
      <w:pPr>
        <w:ind w:firstLine="560" w:firstLineChars="200"/>
        <w:rPr>
          <w:rFonts w:hint="eastAsia" w:ascii="仿宋" w:hAnsi="仿宋" w:eastAsia="仿宋" w:cs="仿宋"/>
          <w:sz w:val="28"/>
          <w:szCs w:val="28"/>
        </w:rPr>
      </w:pPr>
      <w:r>
        <w:rPr>
          <w:rFonts w:hint="eastAsia" w:ascii="仿宋" w:hAnsi="仿宋" w:eastAsia="仿宋" w:cs="仿宋"/>
          <w:sz w:val="28"/>
          <w:szCs w:val="28"/>
        </w:rPr>
        <w:t>增值税普通发票、增值税专用发票、电子发票、定额发票都可以报销。</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电子发票是标题印有“电子”字样的发票，纸质发票拍照或复印件不是电子发票。电子发票打印黑白或彩色均可。</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定额发票必须加盖“发票专用章”，在有效期内报销，并提供销售方明细清单，清单需要注明销售时间、业务内容、数量、单价、实际金额等事项。</w:t>
      </w:r>
    </w:p>
    <w:p>
      <w:pPr>
        <w:pStyle w:val="3"/>
        <w:bidi w:val="0"/>
        <w:rPr>
          <w:rFonts w:hint="eastAsia" w:ascii="仿宋" w:hAnsi="仿宋" w:eastAsia="仿宋" w:cs="仿宋"/>
        </w:rPr>
      </w:pPr>
      <w:bookmarkStart w:id="35" w:name="_Toc23542"/>
      <w:bookmarkStart w:id="36" w:name="_Toc16044"/>
      <w:bookmarkStart w:id="37" w:name="_Toc28450"/>
      <w:bookmarkStart w:id="38" w:name="_Toc7604"/>
      <w:r>
        <w:rPr>
          <w:rFonts w:hint="eastAsia" w:ascii="仿宋" w:hAnsi="仿宋" w:eastAsia="仿宋" w:cs="仿宋"/>
        </w:rPr>
        <w:t>资金往来结算票据使用范围</w:t>
      </w:r>
      <w:bookmarkEnd w:id="35"/>
      <w:bookmarkEnd w:id="36"/>
      <w:bookmarkEnd w:id="37"/>
      <w:bookmarkEnd w:id="38"/>
    </w:p>
    <w:p>
      <w:pPr>
        <w:ind w:firstLine="560" w:firstLineChars="200"/>
        <w:rPr>
          <w:rFonts w:hint="eastAsia" w:ascii="仿宋" w:hAnsi="仿宋" w:eastAsia="仿宋" w:cs="仿宋"/>
          <w:sz w:val="28"/>
          <w:szCs w:val="28"/>
        </w:rPr>
      </w:pPr>
      <w:r>
        <w:rPr>
          <w:rFonts w:hint="eastAsia" w:ascii="仿宋" w:hAnsi="仿宋" w:eastAsia="仿宋" w:cs="仿宋"/>
          <w:sz w:val="28"/>
          <w:szCs w:val="28"/>
        </w:rPr>
        <w:t>（1）单位暂收款项。由单位暂时收取，在经济活动结束后需 退还原付款单位或个人，不构成单位收入的款项，如押金、定金、 保证金及其他暂时收取的各种款项等。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（2）单位代收款项。由单位代为收取，在经济活动结束后需 付给其他收款单位或个人，不构成本单位收入的款项，如代收教材费、体检费、水电费、供暖费、电话费等。</w:t>
      </w:r>
    </w:p>
    <w:p>
      <w:pPr>
        <w:pStyle w:val="3"/>
        <w:bidi w:val="0"/>
        <w:rPr>
          <w:rFonts w:hint="eastAsia" w:ascii="仿宋" w:hAnsi="仿宋" w:eastAsia="仿宋" w:cs="仿宋"/>
        </w:rPr>
      </w:pPr>
      <w:bookmarkStart w:id="39" w:name="_Toc23387"/>
      <w:bookmarkStart w:id="40" w:name="_Toc20626"/>
      <w:bookmarkStart w:id="41" w:name="_Toc24813"/>
      <w:bookmarkStart w:id="42" w:name="_Toc14817"/>
      <w:r>
        <w:rPr>
          <w:rFonts w:hint="eastAsia" w:ascii="仿宋" w:hAnsi="仿宋" w:eastAsia="仿宋" w:cs="仿宋"/>
        </w:rPr>
        <w:t>不能使用资金往来结算票据的常见业务</w:t>
      </w:r>
      <w:bookmarkEnd w:id="39"/>
      <w:bookmarkEnd w:id="40"/>
      <w:bookmarkEnd w:id="41"/>
      <w:bookmarkEnd w:id="42"/>
    </w:p>
    <w:p>
      <w:pPr>
        <w:ind w:firstLine="560" w:firstLineChars="200"/>
        <w:rPr>
          <w:rFonts w:hint="eastAsia" w:ascii="仿宋" w:hAnsi="仿宋" w:eastAsia="仿宋" w:cs="仿宋"/>
          <w:sz w:val="28"/>
          <w:szCs w:val="28"/>
        </w:rPr>
      </w:pPr>
      <w:r>
        <w:rPr>
          <w:rFonts w:hint="eastAsia" w:ascii="仿宋" w:hAnsi="仿宋" w:eastAsia="仿宋" w:cs="仿宋"/>
          <w:sz w:val="28"/>
          <w:szCs w:val="28"/>
        </w:rPr>
        <w:t>（1）经营服务性收费类：</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1 \* GB3 </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信息咨询、技术咨询、技术开发、技术成果转让和技术服务收费；</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GB3 </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组织培训、会议收取的培训费、会务费；</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3 \* GB3 </w:instrText>
      </w:r>
      <w:r>
        <w:rPr>
          <w:rFonts w:hint="eastAsia" w:ascii="仿宋" w:hAnsi="仿宋" w:eastAsia="仿宋" w:cs="仿宋"/>
          <w:sz w:val="28"/>
          <w:szCs w:val="28"/>
        </w:rPr>
        <w:fldChar w:fldCharType="separate"/>
      </w:r>
      <w:r>
        <w:rPr>
          <w:rFonts w:hint="eastAsia" w:ascii="仿宋" w:hAnsi="仿宋" w:eastAsia="仿宋" w:cs="仿宋"/>
          <w:sz w:val="28"/>
          <w:szCs w:val="28"/>
        </w:rPr>
        <w:t>③</w:t>
      </w:r>
      <w:r>
        <w:rPr>
          <w:rFonts w:hint="eastAsia" w:ascii="仿宋" w:hAnsi="仿宋" w:eastAsia="仿宋" w:cs="仿宋"/>
          <w:sz w:val="28"/>
          <w:szCs w:val="28"/>
        </w:rPr>
        <w:fldChar w:fldCharType="end"/>
      </w:r>
      <w:r>
        <w:rPr>
          <w:rFonts w:hint="eastAsia" w:ascii="仿宋" w:hAnsi="仿宋" w:eastAsia="仿宋" w:cs="仿宋"/>
          <w:sz w:val="28"/>
          <w:szCs w:val="28"/>
        </w:rPr>
        <w:t>组织展览、展销会收取的展位费等服务性收费；</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4 \* GB3 </w:instrText>
      </w:r>
      <w:r>
        <w:rPr>
          <w:rFonts w:hint="eastAsia" w:ascii="仿宋" w:hAnsi="仿宋" w:eastAsia="仿宋" w:cs="仿宋"/>
          <w:sz w:val="28"/>
          <w:szCs w:val="28"/>
        </w:rPr>
        <w:fldChar w:fldCharType="separate"/>
      </w:r>
      <w:r>
        <w:rPr>
          <w:rFonts w:hint="eastAsia" w:ascii="仿宋" w:hAnsi="仿宋" w:eastAsia="仿宋" w:cs="仿宋"/>
          <w:sz w:val="28"/>
          <w:szCs w:val="28"/>
        </w:rPr>
        <w:t>④</w:t>
      </w:r>
      <w:r>
        <w:rPr>
          <w:rFonts w:hint="eastAsia" w:ascii="仿宋" w:hAnsi="仿宋" w:eastAsia="仿宋" w:cs="仿宋"/>
          <w:sz w:val="28"/>
          <w:szCs w:val="28"/>
        </w:rPr>
        <w:fldChar w:fldCharType="end"/>
      </w:r>
      <w:r>
        <w:rPr>
          <w:rFonts w:hint="eastAsia" w:ascii="仿宋" w:hAnsi="仿宋" w:eastAsia="仿宋" w:cs="仿宋"/>
          <w:sz w:val="28"/>
          <w:szCs w:val="28"/>
        </w:rPr>
        <w:t>创办刊物、出版书籍并向订购单位和个人收取的费用；</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5 \* GB3 </w:instrText>
      </w:r>
      <w:r>
        <w:rPr>
          <w:rFonts w:hint="eastAsia" w:ascii="仿宋" w:hAnsi="仿宋" w:eastAsia="仿宋" w:cs="仿宋"/>
          <w:sz w:val="28"/>
          <w:szCs w:val="28"/>
        </w:rPr>
        <w:fldChar w:fldCharType="separate"/>
      </w:r>
      <w:r>
        <w:rPr>
          <w:rFonts w:hint="eastAsia" w:ascii="仿宋" w:hAnsi="仿宋" w:eastAsia="仿宋" w:cs="仿宋"/>
          <w:sz w:val="28"/>
          <w:szCs w:val="28"/>
        </w:rPr>
        <w:t>⑤</w:t>
      </w:r>
      <w:r>
        <w:rPr>
          <w:rFonts w:hint="eastAsia" w:ascii="仿宋" w:hAnsi="仿宋" w:eastAsia="仿宋" w:cs="仿宋"/>
          <w:sz w:val="28"/>
          <w:szCs w:val="28"/>
        </w:rPr>
        <w:fldChar w:fldCharType="end"/>
      </w:r>
      <w:r>
        <w:rPr>
          <w:rFonts w:hint="eastAsia" w:ascii="仿宋" w:hAnsi="仿宋" w:eastAsia="仿宋" w:cs="仿宋"/>
          <w:sz w:val="28"/>
          <w:szCs w:val="28"/>
        </w:rPr>
        <w:t>复印费、打字费、资料费、印刷费；</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6 \* GB3 </w:instrText>
      </w:r>
      <w:r>
        <w:rPr>
          <w:rFonts w:hint="eastAsia" w:ascii="仿宋" w:hAnsi="仿宋" w:eastAsia="仿宋" w:cs="仿宋"/>
          <w:sz w:val="28"/>
          <w:szCs w:val="28"/>
        </w:rPr>
        <w:fldChar w:fldCharType="separate"/>
      </w:r>
      <w:r>
        <w:rPr>
          <w:rFonts w:hint="eastAsia" w:ascii="仿宋" w:hAnsi="仿宋" w:eastAsia="仿宋" w:cs="仿宋"/>
          <w:sz w:val="28"/>
          <w:szCs w:val="28"/>
        </w:rPr>
        <w:t>⑥</w:t>
      </w:r>
      <w:r>
        <w:rPr>
          <w:rFonts w:hint="eastAsia" w:ascii="仿宋" w:hAnsi="仿宋" w:eastAsia="仿宋" w:cs="仿宋"/>
          <w:sz w:val="28"/>
          <w:szCs w:val="28"/>
        </w:rPr>
        <w:fldChar w:fldCharType="end"/>
      </w:r>
      <w:r>
        <w:rPr>
          <w:rFonts w:hint="eastAsia" w:ascii="仿宋" w:hAnsi="仿宋" w:eastAsia="仿宋" w:cs="仿宋"/>
          <w:sz w:val="28"/>
          <w:szCs w:val="28"/>
        </w:rPr>
        <w:t>其他经营服务性收费。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（2）非税收入类：行政事业性收费、国有资源有偿使用收入、国有资产有偿使用收入、以政府名义接受的捐赠收入等政府非税收入类。</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没有财务隶属关系单位之间发生的资金往来，如科研院 所之间、高校之间、科研院所与高校之间发生的科研课题费等，涉及应税的资金，使用税务发票；不涉及应税的资金，凭银行结算凭证入账。均不得使用资金往来结算票据。</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以上常见业务不能使用资金往来结算票据。</w:t>
      </w:r>
    </w:p>
    <w:p>
      <w:pPr>
        <w:pStyle w:val="3"/>
        <w:bidi w:val="0"/>
        <w:rPr>
          <w:rFonts w:hint="eastAsia" w:ascii="仿宋" w:hAnsi="仿宋" w:eastAsia="仿宋" w:cs="仿宋"/>
        </w:rPr>
      </w:pPr>
      <w:bookmarkStart w:id="43" w:name="_Toc22684"/>
      <w:bookmarkStart w:id="44" w:name="_Toc7193"/>
      <w:bookmarkStart w:id="45" w:name="_Toc23931"/>
      <w:bookmarkStart w:id="46" w:name="_Toc28768"/>
      <w:r>
        <w:rPr>
          <w:rFonts w:hint="eastAsia" w:ascii="仿宋" w:hAnsi="仿宋" w:eastAsia="仿宋" w:cs="仿宋"/>
        </w:rPr>
        <w:t>校内自制报销格式单据有哪些</w:t>
      </w:r>
      <w:bookmarkEnd w:id="43"/>
      <w:bookmarkEnd w:id="44"/>
      <w:bookmarkEnd w:id="45"/>
      <w:bookmarkEnd w:id="46"/>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临时工工资发放表、聊城大学费用发放表、聊城大学费用内部转账报销单、聊城大学出差补助报销单等，所有格式单据在财务处网站“资料下载”栏。</w:t>
      </w:r>
    </w:p>
    <w:p>
      <w:pPr>
        <w:pStyle w:val="3"/>
        <w:bidi w:val="0"/>
        <w:rPr>
          <w:rFonts w:hint="eastAsia" w:ascii="仿宋" w:hAnsi="仿宋" w:eastAsia="仿宋" w:cs="仿宋"/>
          <w:lang w:val="en-US" w:eastAsia="zh-CN"/>
        </w:rPr>
      </w:pPr>
      <w:bookmarkStart w:id="47" w:name="_Toc27506"/>
      <w:bookmarkStart w:id="48" w:name="_Toc2062"/>
      <w:bookmarkStart w:id="49" w:name="_Toc9553"/>
      <w:bookmarkStart w:id="50" w:name="_Toc2589"/>
      <w:r>
        <w:rPr>
          <w:rFonts w:hint="eastAsia" w:ascii="仿宋" w:hAnsi="仿宋" w:eastAsia="仿宋" w:cs="仿宋"/>
        </w:rPr>
        <w:t>发票丢失处理</w:t>
      </w:r>
      <w:r>
        <w:rPr>
          <w:rFonts w:hint="eastAsia" w:ascii="仿宋" w:hAnsi="仿宋" w:eastAsia="仿宋" w:cs="仿宋"/>
          <w:lang w:val="en-US" w:eastAsia="zh-CN"/>
        </w:rPr>
        <w:t>规定</w:t>
      </w:r>
      <w:bookmarkEnd w:id="47"/>
      <w:bookmarkEnd w:id="48"/>
      <w:bookmarkEnd w:id="49"/>
      <w:bookmarkEnd w:id="50"/>
    </w:p>
    <w:p>
      <w:pPr>
        <w:ind w:firstLine="560" w:firstLineChars="200"/>
        <w:rPr>
          <w:rFonts w:hint="eastAsia" w:ascii="仿宋" w:hAnsi="仿宋" w:eastAsia="仿宋" w:cs="仿宋"/>
          <w:sz w:val="28"/>
          <w:szCs w:val="28"/>
        </w:rPr>
      </w:pPr>
      <w:r>
        <w:rPr>
          <w:rFonts w:hint="eastAsia" w:ascii="仿宋" w:hAnsi="仿宋" w:eastAsia="仿宋" w:cs="仿宋"/>
          <w:sz w:val="28"/>
          <w:szCs w:val="28"/>
        </w:rPr>
        <w:t>对丢失“增值税发票”的，由原出票单位提供发票记账联复印件并加盖发票专用章，经财务处处长、分管财务副校长签批后，作为原始凭证进行报销。</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对于丢失“定额发票”及交通工具等类票据，本着会计处理的谨慎性原则，暂不予报销。</w:t>
      </w:r>
    </w:p>
    <w:p>
      <w:pPr>
        <w:pStyle w:val="3"/>
        <w:bidi w:val="0"/>
        <w:rPr>
          <w:rFonts w:hint="eastAsia" w:ascii="仿宋" w:hAnsi="仿宋" w:eastAsia="仿宋" w:cs="仿宋"/>
          <w:lang w:val="en-US" w:eastAsia="zh-CN"/>
        </w:rPr>
      </w:pPr>
      <w:bookmarkStart w:id="51" w:name="_Toc10178"/>
      <w:bookmarkStart w:id="52" w:name="_Toc20543"/>
      <w:bookmarkStart w:id="53" w:name="_Toc24995"/>
      <w:bookmarkStart w:id="54" w:name="_Toc2651"/>
      <w:r>
        <w:rPr>
          <w:rFonts w:hint="eastAsia" w:ascii="仿宋" w:hAnsi="仿宋" w:eastAsia="仿宋" w:cs="仿宋"/>
        </w:rPr>
        <w:t>市内出租车发票报销</w:t>
      </w:r>
      <w:r>
        <w:rPr>
          <w:rFonts w:hint="eastAsia" w:ascii="仿宋" w:hAnsi="仿宋" w:eastAsia="仿宋" w:cs="仿宋"/>
          <w:lang w:val="en-US" w:eastAsia="zh-CN"/>
        </w:rPr>
        <w:t>规定</w:t>
      </w:r>
      <w:bookmarkEnd w:id="51"/>
      <w:bookmarkEnd w:id="52"/>
      <w:bookmarkEnd w:id="53"/>
      <w:bookmarkEnd w:id="54"/>
    </w:p>
    <w:p>
      <w:pPr>
        <w:ind w:firstLine="560" w:firstLineChars="200"/>
        <w:rPr>
          <w:rFonts w:hint="eastAsia" w:ascii="仿宋" w:hAnsi="仿宋" w:eastAsia="仿宋" w:cs="仿宋"/>
          <w:sz w:val="28"/>
          <w:szCs w:val="28"/>
        </w:rPr>
      </w:pPr>
      <w:r>
        <w:rPr>
          <w:rFonts w:hint="eastAsia" w:ascii="仿宋" w:hAnsi="仿宋" w:eastAsia="仿宋" w:cs="仿宋"/>
          <w:color w:val="333333"/>
          <w:kern w:val="0"/>
          <w:sz w:val="28"/>
          <w:szCs w:val="28"/>
        </w:rPr>
        <w:t>市内出租车发票报销时要根据真实情况注明乘车人、出发地、目的地、业务事由。市内出租车发票要及时报销，切勿积攒过多的出租车票一次性报销。</w:t>
      </w:r>
      <w:r>
        <w:rPr>
          <w:rFonts w:hint="eastAsia" w:ascii="仿宋" w:hAnsi="仿宋" w:eastAsia="仿宋" w:cs="仿宋"/>
          <w:sz w:val="28"/>
          <w:szCs w:val="28"/>
        </w:rPr>
        <w:t>对于连号的市内出租车票、所载内容因撕票残缺的票据不能报销。</w:t>
      </w:r>
    </w:p>
    <w:p>
      <w:pPr>
        <w:pStyle w:val="3"/>
        <w:bidi w:val="0"/>
        <w:rPr>
          <w:rFonts w:hint="eastAsia" w:ascii="仿宋" w:hAnsi="仿宋" w:eastAsia="仿宋" w:cs="仿宋"/>
          <w:b/>
          <w:szCs w:val="28"/>
        </w:rPr>
      </w:pPr>
      <w:bookmarkStart w:id="55" w:name="_Toc10899"/>
      <w:bookmarkStart w:id="56" w:name="_Toc11757"/>
      <w:bookmarkStart w:id="57" w:name="_Toc8269"/>
      <w:bookmarkStart w:id="58" w:name="_Toc26629"/>
      <w:r>
        <w:rPr>
          <w:rFonts w:hint="eastAsia" w:ascii="仿宋" w:hAnsi="仿宋" w:eastAsia="仿宋" w:cs="仿宋"/>
        </w:rPr>
        <w:t>日常差旅费报销需提供材料</w:t>
      </w:r>
      <w:bookmarkEnd w:id="55"/>
      <w:bookmarkEnd w:id="56"/>
      <w:bookmarkEnd w:id="57"/>
      <w:bookmarkEnd w:id="58"/>
    </w:p>
    <w:p>
      <w:pPr>
        <w:ind w:firstLine="560" w:firstLineChars="200"/>
        <w:rPr>
          <w:rFonts w:hint="eastAsia" w:ascii="仿宋" w:hAnsi="仿宋" w:eastAsia="仿宋" w:cs="仿宋"/>
          <w:sz w:val="28"/>
          <w:szCs w:val="28"/>
        </w:rPr>
      </w:pPr>
      <w:r>
        <w:rPr>
          <w:rFonts w:hint="eastAsia" w:ascii="仿宋" w:hAnsi="仿宋" w:eastAsia="仿宋" w:cs="仿宋"/>
          <w:sz w:val="28"/>
          <w:szCs w:val="28"/>
        </w:rPr>
        <w:t>日常差旅费报销需提供出差审批单、出差补助报销单、城市间公共交通票据、相关发票、公务卡刷卡小票等付款记录。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外出开会、培训时除提供上述材料外，还应提供会议通知、培训通知原件。</w:t>
      </w:r>
    </w:p>
    <w:p>
      <w:pPr>
        <w:pStyle w:val="3"/>
        <w:bidi w:val="0"/>
        <w:rPr>
          <w:rFonts w:hint="eastAsia" w:ascii="仿宋" w:hAnsi="仿宋" w:eastAsia="仿宋" w:cs="仿宋"/>
        </w:rPr>
      </w:pPr>
      <w:bookmarkStart w:id="59" w:name="_Toc29316"/>
      <w:bookmarkStart w:id="60" w:name="_Toc24482"/>
      <w:bookmarkStart w:id="61" w:name="_Toc19772"/>
      <w:bookmarkStart w:id="62" w:name="_Toc8027"/>
      <w:r>
        <w:rPr>
          <w:rFonts w:hint="eastAsia" w:ascii="仿宋" w:hAnsi="仿宋" w:eastAsia="仿宋" w:cs="仿宋"/>
        </w:rPr>
        <w:t>租用社会车辆出差报销需提供材料</w:t>
      </w:r>
      <w:bookmarkEnd w:id="59"/>
      <w:bookmarkEnd w:id="60"/>
      <w:bookmarkEnd w:id="61"/>
      <w:bookmarkEnd w:id="62"/>
    </w:p>
    <w:p>
      <w:pPr>
        <w:ind w:firstLine="560" w:firstLineChars="200"/>
        <w:rPr>
          <w:rFonts w:hint="eastAsia" w:ascii="仿宋" w:hAnsi="仿宋" w:eastAsia="仿宋" w:cs="仿宋"/>
          <w:b/>
          <w:sz w:val="28"/>
          <w:szCs w:val="28"/>
        </w:rPr>
      </w:pPr>
      <w:r>
        <w:rPr>
          <w:rFonts w:hint="eastAsia" w:ascii="仿宋" w:hAnsi="仿宋" w:eastAsia="仿宋" w:cs="仿宋"/>
          <w:sz w:val="28"/>
          <w:szCs w:val="28"/>
        </w:rPr>
        <w:t>聊城大学公务用车费用结算单（“聊城大学公务用车使用审批单”第二联次）、租车发票、租车费用清单及</w:t>
      </w:r>
      <w:r>
        <w:rPr>
          <w:rFonts w:hint="eastAsia" w:ascii="仿宋" w:hAnsi="仿宋" w:eastAsia="仿宋" w:cs="仿宋"/>
          <w:b/>
          <w:sz w:val="28"/>
          <w:szCs w:val="28"/>
        </w:rPr>
        <w:t>第1</w:t>
      </w:r>
      <w:r>
        <w:rPr>
          <w:rFonts w:hint="eastAsia" w:ascii="仿宋" w:hAnsi="仿宋" w:eastAsia="仿宋" w:cs="仿宋"/>
          <w:b/>
          <w:sz w:val="28"/>
          <w:szCs w:val="28"/>
          <w:lang w:val="en-US" w:eastAsia="zh-CN"/>
        </w:rPr>
        <w:t>3</w:t>
      </w:r>
      <w:r>
        <w:rPr>
          <w:rFonts w:hint="eastAsia" w:ascii="仿宋" w:hAnsi="仿宋" w:eastAsia="仿宋" w:cs="仿宋"/>
          <w:b/>
          <w:sz w:val="28"/>
          <w:szCs w:val="28"/>
        </w:rPr>
        <w:t>条</w:t>
      </w:r>
      <w:r>
        <w:rPr>
          <w:rFonts w:hint="eastAsia" w:ascii="仿宋" w:hAnsi="仿宋" w:eastAsia="仿宋" w:cs="仿宋"/>
          <w:sz w:val="28"/>
          <w:szCs w:val="28"/>
        </w:rPr>
        <w:t>要求的相关材料。</w:t>
      </w:r>
    </w:p>
    <w:p>
      <w:pPr>
        <w:pStyle w:val="3"/>
        <w:bidi w:val="0"/>
        <w:rPr>
          <w:rFonts w:hint="eastAsia" w:ascii="仿宋" w:hAnsi="仿宋" w:eastAsia="仿宋" w:cs="仿宋"/>
        </w:rPr>
      </w:pPr>
      <w:bookmarkStart w:id="63" w:name="_Toc2809"/>
      <w:bookmarkStart w:id="64" w:name="_Toc22507"/>
      <w:bookmarkStart w:id="65" w:name="_Toc3311"/>
      <w:bookmarkStart w:id="66" w:name="_Toc5397"/>
      <w:r>
        <w:rPr>
          <w:rFonts w:hint="eastAsia" w:ascii="仿宋" w:hAnsi="仿宋" w:eastAsia="仿宋" w:cs="仿宋"/>
        </w:rPr>
        <w:t>出差审批程序</w:t>
      </w:r>
      <w:bookmarkEnd w:id="63"/>
      <w:bookmarkEnd w:id="64"/>
      <w:bookmarkEnd w:id="65"/>
      <w:bookmarkEnd w:id="66"/>
    </w:p>
    <w:p>
      <w:pPr>
        <w:ind w:firstLine="560" w:firstLineChars="200"/>
        <w:rPr>
          <w:rFonts w:hint="eastAsia" w:ascii="仿宋" w:hAnsi="仿宋" w:eastAsia="仿宋" w:cs="仿宋"/>
          <w:sz w:val="28"/>
          <w:szCs w:val="28"/>
        </w:rPr>
      </w:pPr>
      <w:r>
        <w:rPr>
          <w:rFonts w:hint="eastAsia" w:ascii="仿宋" w:hAnsi="仿宋" w:eastAsia="仿宋" w:cs="仿宋"/>
          <w:sz w:val="28"/>
          <w:szCs w:val="28"/>
        </w:rPr>
        <w:t>学院书记、院长出差分别由院长、书记相互审批；部门负责人出差由分管校领导审批；其它人员出差按行政隶属关系由单位负责人审批。</w:t>
      </w:r>
    </w:p>
    <w:p>
      <w:pPr>
        <w:pStyle w:val="3"/>
        <w:bidi w:val="0"/>
        <w:rPr>
          <w:rFonts w:hint="eastAsia" w:ascii="仿宋" w:hAnsi="仿宋" w:eastAsia="仿宋" w:cs="仿宋"/>
        </w:rPr>
      </w:pPr>
      <w:bookmarkStart w:id="67" w:name="_Toc9579"/>
      <w:bookmarkStart w:id="68" w:name="_Toc27219"/>
      <w:bookmarkStart w:id="69" w:name="_Toc17141"/>
      <w:bookmarkStart w:id="70" w:name="_Toc17969"/>
      <w:r>
        <w:rPr>
          <w:rFonts w:hint="eastAsia" w:ascii="仿宋" w:hAnsi="仿宋" w:eastAsia="仿宋" w:cs="仿宋"/>
        </w:rPr>
        <w:t>同时报销多次出差业务，可以填制一张出差审批单吗</w:t>
      </w:r>
      <w:bookmarkEnd w:id="67"/>
      <w:bookmarkEnd w:id="68"/>
      <w:bookmarkEnd w:id="69"/>
      <w:bookmarkEnd w:id="70"/>
    </w:p>
    <w:p>
      <w:pPr>
        <w:ind w:firstLine="560" w:firstLineChars="200"/>
        <w:rPr>
          <w:rFonts w:hint="eastAsia" w:ascii="仿宋" w:hAnsi="仿宋" w:eastAsia="仿宋" w:cs="仿宋"/>
          <w:sz w:val="28"/>
          <w:szCs w:val="28"/>
        </w:rPr>
      </w:pPr>
      <w:r>
        <w:rPr>
          <w:rFonts w:hint="eastAsia" w:ascii="仿宋" w:hAnsi="仿宋" w:eastAsia="仿宋" w:cs="仿宋"/>
          <w:sz w:val="28"/>
          <w:szCs w:val="28"/>
        </w:rPr>
        <w:t>不可以。按照国家、省、学校差旅费管理办法规定，出差应一事一批，一事一报，不得合并审批。</w:t>
      </w:r>
    </w:p>
    <w:p>
      <w:pPr>
        <w:pStyle w:val="3"/>
        <w:bidi w:val="0"/>
        <w:rPr>
          <w:rFonts w:hint="eastAsia" w:ascii="仿宋" w:hAnsi="仿宋" w:eastAsia="仿宋" w:cs="仿宋"/>
        </w:rPr>
      </w:pPr>
      <w:bookmarkStart w:id="71" w:name="_Toc30555"/>
      <w:bookmarkStart w:id="72" w:name="_Toc8430"/>
      <w:bookmarkStart w:id="73" w:name="_Toc9329"/>
      <w:bookmarkStart w:id="74" w:name="_Toc23048"/>
      <w:r>
        <w:rPr>
          <w:rFonts w:hint="eastAsia" w:ascii="仿宋" w:hAnsi="仿宋" w:eastAsia="仿宋" w:cs="仿宋"/>
        </w:rPr>
        <w:t>出差人员实际发生住宿确实无法取得住宿费发票的如何计发出差补助</w:t>
      </w:r>
      <w:bookmarkEnd w:id="71"/>
      <w:bookmarkEnd w:id="72"/>
      <w:bookmarkEnd w:id="73"/>
      <w:bookmarkEnd w:id="74"/>
    </w:p>
    <w:p>
      <w:pPr>
        <w:ind w:firstLine="560" w:firstLineChars="200"/>
        <w:rPr>
          <w:rFonts w:hint="eastAsia" w:ascii="仿宋" w:hAnsi="仿宋" w:eastAsia="仿宋" w:cs="仿宋"/>
          <w:sz w:val="28"/>
          <w:szCs w:val="28"/>
        </w:rPr>
      </w:pPr>
      <w:r>
        <w:rPr>
          <w:rFonts w:hint="eastAsia" w:ascii="仿宋" w:hAnsi="仿宋" w:eastAsia="仿宋" w:cs="仿宋"/>
          <w:sz w:val="28"/>
          <w:szCs w:val="28"/>
        </w:rPr>
        <w:t>出差人员实际发生住宿而确实无法取得住宿费发票且有往返城市间交通费票据的，由出差人员填写《聊城大学特殊事项申报单》，并经所在单位负责人或项目负责人批准，可以领取出差期间的出差补助。</w:t>
      </w:r>
    </w:p>
    <w:p>
      <w:pPr>
        <w:pStyle w:val="3"/>
        <w:bidi w:val="0"/>
        <w:rPr>
          <w:rFonts w:hint="eastAsia" w:ascii="仿宋" w:hAnsi="仿宋" w:eastAsia="仿宋" w:cs="仿宋"/>
        </w:rPr>
      </w:pPr>
      <w:bookmarkStart w:id="75" w:name="_Toc3805"/>
      <w:bookmarkStart w:id="76" w:name="_Toc7820"/>
      <w:bookmarkStart w:id="77" w:name="_Toc3089"/>
      <w:bookmarkStart w:id="78" w:name="_Toc28282"/>
      <w:r>
        <w:rPr>
          <w:rFonts w:hint="eastAsia" w:ascii="仿宋" w:hAnsi="仿宋" w:eastAsia="仿宋" w:cs="仿宋"/>
        </w:rPr>
        <w:t>有住宿费发票，无交通费票据或城市间交通费票据行程不完整、不连贯的，如何计发出差补助</w:t>
      </w:r>
      <w:bookmarkEnd w:id="75"/>
      <w:bookmarkEnd w:id="76"/>
      <w:bookmarkEnd w:id="77"/>
      <w:bookmarkEnd w:id="78"/>
    </w:p>
    <w:p>
      <w:pPr>
        <w:ind w:firstLine="560" w:firstLineChars="200"/>
        <w:rPr>
          <w:rFonts w:hint="eastAsia" w:ascii="仿宋" w:hAnsi="仿宋" w:eastAsia="仿宋" w:cs="仿宋"/>
          <w:sz w:val="28"/>
          <w:szCs w:val="28"/>
        </w:rPr>
      </w:pPr>
      <w:r>
        <w:rPr>
          <w:rFonts w:hint="eastAsia" w:ascii="仿宋" w:hAnsi="仿宋" w:eastAsia="仿宋" w:cs="仿宋"/>
          <w:sz w:val="28"/>
          <w:szCs w:val="28"/>
        </w:rPr>
        <w:t>有住宿费发票，无城市间交通费票据的，不计发市内交通费补助；城市间交通费票据行程不完整、不连贯的，可以报销但需要写出原因。 只有单程城市间交通费票据且无住宿费发票的，只计发一天的出差补助。</w:t>
      </w:r>
    </w:p>
    <w:p>
      <w:pPr>
        <w:pStyle w:val="3"/>
        <w:bidi w:val="0"/>
        <w:rPr>
          <w:rFonts w:hint="eastAsia" w:ascii="仿宋" w:hAnsi="仿宋" w:eastAsia="仿宋" w:cs="仿宋"/>
        </w:rPr>
      </w:pPr>
      <w:bookmarkStart w:id="79" w:name="_Toc11520"/>
      <w:bookmarkStart w:id="80" w:name="_Toc5712"/>
      <w:bookmarkStart w:id="81" w:name="_Toc9148"/>
      <w:bookmarkStart w:id="82" w:name="_Toc17450"/>
      <w:r>
        <w:rPr>
          <w:rFonts w:hint="eastAsia" w:ascii="仿宋" w:hAnsi="仿宋" w:eastAsia="仿宋" w:cs="仿宋"/>
        </w:rPr>
        <w:t>出差租用社会车辆规定</w:t>
      </w:r>
      <w:bookmarkEnd w:id="79"/>
      <w:bookmarkEnd w:id="80"/>
      <w:bookmarkEnd w:id="81"/>
      <w:bookmarkEnd w:id="82"/>
    </w:p>
    <w:p>
      <w:pPr>
        <w:ind w:firstLine="560" w:firstLineChars="200"/>
        <w:rPr>
          <w:rFonts w:hint="eastAsia" w:ascii="仿宋" w:hAnsi="仿宋" w:eastAsia="仿宋" w:cs="仿宋"/>
          <w:sz w:val="28"/>
          <w:szCs w:val="28"/>
        </w:rPr>
      </w:pPr>
      <w:r>
        <w:rPr>
          <w:rFonts w:hint="eastAsia" w:ascii="仿宋" w:hAnsi="仿宋" w:eastAsia="仿宋" w:cs="仿宋"/>
          <w:color w:val="000000"/>
          <w:kern w:val="0"/>
          <w:sz w:val="28"/>
          <w:szCs w:val="28"/>
        </w:rPr>
        <w:t>（1）租用的社会车辆必须是学校招标选定的汽车租赁企业商家库之内的车辆。</w:t>
      </w:r>
    </w:p>
    <w:p>
      <w:pPr>
        <w:ind w:firstLine="560" w:firstLineChars="200"/>
        <w:rPr>
          <w:rFonts w:hint="eastAsia" w:ascii="仿宋" w:hAnsi="仿宋" w:eastAsia="仿宋" w:cs="仿宋"/>
          <w:color w:val="000000"/>
          <w:kern w:val="0"/>
          <w:sz w:val="28"/>
          <w:szCs w:val="28"/>
        </w:rPr>
      </w:pPr>
      <w:r>
        <w:rPr>
          <w:rFonts w:hint="eastAsia" w:ascii="仿宋" w:hAnsi="仿宋" w:eastAsia="仿宋" w:cs="仿宋"/>
          <w:sz w:val="28"/>
          <w:szCs w:val="28"/>
        </w:rPr>
        <w:t>（2）按照《聊城大学公务用车管理暂行办法》规定的业务范围严格执行审批制，</w:t>
      </w:r>
      <w:r>
        <w:rPr>
          <w:rFonts w:hint="eastAsia" w:ascii="仿宋" w:hAnsi="仿宋" w:eastAsia="仿宋" w:cs="仿宋"/>
          <w:color w:val="000000"/>
          <w:kern w:val="0"/>
          <w:sz w:val="28"/>
          <w:szCs w:val="28"/>
        </w:rPr>
        <w:t>学院实行会签制度，院长为第一责任人，党总支书记为监督管理责任人；其他单位由单位主要负责人签批。</w:t>
      </w:r>
    </w:p>
    <w:p>
      <w:pPr>
        <w:pStyle w:val="3"/>
        <w:bidi w:val="0"/>
        <w:rPr>
          <w:rFonts w:hint="eastAsia" w:ascii="仿宋" w:hAnsi="仿宋" w:eastAsia="仿宋" w:cs="仿宋"/>
          <w:b/>
          <w:color w:val="000000"/>
          <w:kern w:val="0"/>
          <w:szCs w:val="28"/>
        </w:rPr>
      </w:pPr>
      <w:bookmarkStart w:id="83" w:name="_Toc16890"/>
      <w:bookmarkStart w:id="84" w:name="_Toc29761"/>
      <w:bookmarkStart w:id="85" w:name="_Toc31790"/>
      <w:bookmarkStart w:id="86" w:name="_Toc17593"/>
      <w:r>
        <w:rPr>
          <w:rFonts w:hint="eastAsia" w:ascii="仿宋" w:hAnsi="仿宋" w:eastAsia="仿宋" w:cs="仿宋"/>
        </w:rPr>
        <w:t>学校招标选定的汽车租赁企业商家库车辆无法满足实际需求时审批</w:t>
      </w:r>
      <w:bookmarkEnd w:id="83"/>
      <w:bookmarkEnd w:id="84"/>
      <w:bookmarkEnd w:id="85"/>
      <w:bookmarkEnd w:id="86"/>
    </w:p>
    <w:p>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学校招标选定商家库确实无法满足实际需求需从商家库之外租赁车辆的，必须进行充分论证并形成报告，由单位负责人、分管(联系)校领导、学校主要领导审批。</w:t>
      </w:r>
    </w:p>
    <w:p>
      <w:pPr>
        <w:pStyle w:val="3"/>
        <w:bidi w:val="0"/>
        <w:rPr>
          <w:rFonts w:hint="eastAsia" w:ascii="仿宋" w:hAnsi="仿宋" w:eastAsia="仿宋" w:cs="仿宋"/>
        </w:rPr>
      </w:pPr>
      <w:bookmarkStart w:id="87" w:name="_Toc4134"/>
      <w:bookmarkStart w:id="88" w:name="_Toc25663"/>
      <w:bookmarkStart w:id="89" w:name="_Toc7352"/>
      <w:bookmarkStart w:id="90" w:name="_Toc4713"/>
      <w:r>
        <w:rPr>
          <w:rFonts w:hint="eastAsia" w:ascii="仿宋" w:hAnsi="仿宋" w:eastAsia="仿宋" w:cs="仿宋"/>
        </w:rPr>
        <w:t>出差时在出发地和目的地往返火车站或飞机场等产生的市内交通费，可否报销</w:t>
      </w:r>
      <w:bookmarkEnd w:id="87"/>
      <w:bookmarkEnd w:id="88"/>
      <w:bookmarkEnd w:id="89"/>
      <w:bookmarkEnd w:id="90"/>
    </w:p>
    <w:p>
      <w:pPr>
        <w:ind w:firstLine="560" w:firstLineChars="200"/>
        <w:rPr>
          <w:rFonts w:hint="eastAsia" w:ascii="仿宋" w:hAnsi="仿宋" w:eastAsia="仿宋" w:cs="仿宋"/>
          <w:sz w:val="28"/>
          <w:szCs w:val="28"/>
        </w:rPr>
      </w:pPr>
      <w:r>
        <w:rPr>
          <w:rFonts w:hint="eastAsia" w:ascii="仿宋" w:hAnsi="仿宋" w:eastAsia="仿宋" w:cs="仿宋"/>
          <w:sz w:val="28"/>
          <w:szCs w:val="28"/>
        </w:rPr>
        <w:t>不可以报销。根据《&lt;山东省省直机关差旅费管理办法&gt;有关问题的补充通知》规定，往返驻地和机场的交通费在按规定发放的市内交通费（80元/天）内统筹解决，不再另外报销。</w:t>
      </w:r>
    </w:p>
    <w:p>
      <w:pPr>
        <w:pStyle w:val="3"/>
        <w:bidi w:val="0"/>
        <w:rPr>
          <w:rFonts w:hint="eastAsia" w:ascii="仿宋" w:hAnsi="仿宋" w:eastAsia="仿宋" w:cs="仿宋"/>
        </w:rPr>
      </w:pPr>
      <w:bookmarkStart w:id="91" w:name="_Toc703"/>
      <w:bookmarkStart w:id="92" w:name="_Toc14167"/>
      <w:bookmarkStart w:id="93" w:name="_Toc4261"/>
      <w:bookmarkStart w:id="94" w:name="_Toc28523"/>
      <w:r>
        <w:rPr>
          <w:rFonts w:hint="eastAsia" w:ascii="仿宋" w:hAnsi="仿宋" w:eastAsia="仿宋" w:cs="仿宋"/>
        </w:rPr>
        <w:t>出差购买公务机票要求</w:t>
      </w:r>
      <w:bookmarkEnd w:id="91"/>
      <w:bookmarkEnd w:id="92"/>
      <w:bookmarkEnd w:id="93"/>
      <w:bookmarkEnd w:id="94"/>
    </w:p>
    <w:p>
      <w:pPr>
        <w:ind w:firstLine="560" w:firstLineChars="200"/>
        <w:rPr>
          <w:rFonts w:hint="eastAsia" w:ascii="仿宋" w:hAnsi="仿宋" w:eastAsia="仿宋" w:cs="仿宋"/>
          <w:sz w:val="28"/>
          <w:szCs w:val="28"/>
        </w:rPr>
      </w:pPr>
      <w:r>
        <w:rPr>
          <w:rFonts w:hint="eastAsia" w:ascii="仿宋" w:hAnsi="仿宋" w:eastAsia="仿宋" w:cs="仿宋"/>
          <w:sz w:val="28"/>
          <w:szCs w:val="28"/>
        </w:rPr>
        <w:t>根据山东省财政厅《关于做好公务机票购买管理改革工作的通知》要求，国内出差、因公临时出国购买公务机票，按照厉行节约原则，应使用公务卡通过政府采购机票管理网站（ https://www.gpticket.org）订购；也可以使用公务卡或银行转账方式通过具备中国民航机票销售资质的各航空公司直销机构或机票销售代理机构订购。</w:t>
      </w:r>
    </w:p>
    <w:p>
      <w:pPr>
        <w:pStyle w:val="3"/>
        <w:bidi w:val="0"/>
        <w:rPr>
          <w:rFonts w:hint="eastAsia" w:ascii="仿宋" w:hAnsi="仿宋" w:eastAsia="仿宋" w:cs="仿宋"/>
          <w:lang w:val="en-US"/>
        </w:rPr>
      </w:pPr>
      <w:bookmarkStart w:id="95" w:name="_Toc27232"/>
      <w:bookmarkStart w:id="96" w:name="_Toc23809"/>
      <w:bookmarkStart w:id="97" w:name="_Toc30724"/>
      <w:bookmarkStart w:id="98" w:name="_Toc32440"/>
      <w:r>
        <w:rPr>
          <w:rFonts w:hint="eastAsia" w:ascii="仿宋" w:hAnsi="仿宋" w:eastAsia="仿宋" w:cs="仿宋"/>
        </w:rPr>
        <w:t>没有通过政府采购机票管理网站或各航空公司直销或代理机构购票</w:t>
      </w:r>
      <w:r>
        <w:rPr>
          <w:rFonts w:hint="eastAsia" w:ascii="仿宋" w:hAnsi="仿宋" w:eastAsia="仿宋" w:cs="仿宋"/>
          <w:lang w:val="en-US" w:eastAsia="zh-CN"/>
        </w:rPr>
        <w:t>报销规定</w:t>
      </w:r>
      <w:bookmarkEnd w:id="95"/>
      <w:bookmarkEnd w:id="96"/>
      <w:bookmarkEnd w:id="97"/>
      <w:bookmarkEnd w:id="98"/>
    </w:p>
    <w:p>
      <w:pPr>
        <w:ind w:firstLine="560" w:firstLineChars="200"/>
        <w:rPr>
          <w:rFonts w:hint="eastAsia" w:ascii="仿宋" w:hAnsi="仿宋" w:eastAsia="仿宋" w:cs="仿宋"/>
          <w:sz w:val="28"/>
          <w:szCs w:val="28"/>
        </w:rPr>
      </w:pPr>
      <w:r>
        <w:rPr>
          <w:rFonts w:hint="eastAsia" w:ascii="仿宋" w:hAnsi="仿宋" w:eastAsia="仿宋" w:cs="仿宋"/>
          <w:sz w:val="28"/>
          <w:szCs w:val="28"/>
        </w:rPr>
        <w:t>如从其它网站或机票定购点定购低价机票的，报销时应提供政府采购机票管理网站或各航空公司官方网站同天同时刻同航班舱位的价格截图等材料。如果政府采购网站价格低于所报销的机票票价，应按政府采购网站低价格票价报销。</w:t>
      </w:r>
    </w:p>
    <w:p>
      <w:pPr>
        <w:pStyle w:val="3"/>
        <w:bidi w:val="0"/>
        <w:rPr>
          <w:rFonts w:hint="eastAsia" w:ascii="仿宋" w:hAnsi="仿宋" w:eastAsia="仿宋" w:cs="仿宋"/>
        </w:rPr>
      </w:pPr>
      <w:bookmarkStart w:id="99" w:name="_Toc4441"/>
      <w:bookmarkStart w:id="100" w:name="_Toc27156"/>
      <w:bookmarkStart w:id="101" w:name="_Toc27604"/>
      <w:bookmarkStart w:id="102" w:name="_Toc8631"/>
      <w:r>
        <w:rPr>
          <w:rFonts w:hint="eastAsia" w:ascii="仿宋" w:hAnsi="仿宋" w:eastAsia="仿宋" w:cs="仿宋"/>
        </w:rPr>
        <w:t>因公临时出国（境）费用报销需提供材料</w:t>
      </w:r>
      <w:bookmarkEnd w:id="99"/>
      <w:bookmarkEnd w:id="100"/>
      <w:bookmarkEnd w:id="101"/>
      <w:bookmarkEnd w:id="102"/>
    </w:p>
    <w:p>
      <w:pPr>
        <w:ind w:firstLine="560" w:firstLineChars="200"/>
        <w:rPr>
          <w:rFonts w:hint="eastAsia" w:ascii="仿宋" w:hAnsi="仿宋" w:eastAsia="仿宋" w:cs="仿宋"/>
          <w:sz w:val="28"/>
          <w:szCs w:val="28"/>
        </w:rPr>
      </w:pPr>
      <w:r>
        <w:rPr>
          <w:rFonts w:hint="eastAsia" w:ascii="仿宋" w:hAnsi="仿宋" w:eastAsia="仿宋" w:cs="仿宋"/>
          <w:sz w:val="28"/>
          <w:szCs w:val="28"/>
        </w:rPr>
        <w:t>报销因公出国（境）费用的，须附往返机票、出国（境）住宿费票据、聊城大学出国审批表、任务批件、邀请函或会议通知、护照（签证和出入境记录）复印件等。</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购买非国内航空公司航班机票的，应当以相关有效票据作为报销凭证，并附国际合作交流处和财务处出具审核意见的审批表。</w:t>
      </w:r>
    </w:p>
    <w:p>
      <w:pPr>
        <w:pStyle w:val="3"/>
        <w:bidi w:val="0"/>
        <w:rPr>
          <w:rFonts w:hint="eastAsia" w:ascii="仿宋" w:hAnsi="仿宋" w:eastAsia="仿宋" w:cs="仿宋"/>
          <w:b/>
          <w:szCs w:val="28"/>
        </w:rPr>
      </w:pPr>
      <w:bookmarkStart w:id="103" w:name="_Toc3565"/>
      <w:bookmarkStart w:id="104" w:name="_Toc10381"/>
      <w:bookmarkStart w:id="105" w:name="_Toc22430"/>
      <w:bookmarkStart w:id="106" w:name="_Toc2903"/>
      <w:r>
        <w:rPr>
          <w:rFonts w:hint="eastAsia" w:ascii="仿宋" w:hAnsi="仿宋" w:eastAsia="仿宋" w:cs="仿宋"/>
        </w:rPr>
        <w:t>公务接待报销需提供材料</w:t>
      </w:r>
      <w:bookmarkEnd w:id="103"/>
      <w:bookmarkEnd w:id="104"/>
      <w:bookmarkEnd w:id="105"/>
      <w:bookmarkEnd w:id="106"/>
    </w:p>
    <w:p>
      <w:pPr>
        <w:ind w:firstLine="480" w:firstLineChars="200"/>
        <w:rPr>
          <w:rFonts w:hint="eastAsia" w:ascii="仿宋" w:hAnsi="仿宋" w:eastAsia="仿宋" w:cs="仿宋"/>
          <w:sz w:val="28"/>
          <w:szCs w:val="28"/>
        </w:rPr>
      </w:pPr>
      <w:r>
        <w:rPr>
          <w:rFonts w:hint="eastAsia" w:ascii="仿宋" w:hAnsi="仿宋" w:eastAsia="仿宋" w:cs="仿宋"/>
          <w:sz w:val="24"/>
          <w:szCs w:val="24"/>
        </w:rPr>
        <w:t xml:space="preserve">  </w:t>
      </w:r>
      <w:r>
        <w:rPr>
          <w:rFonts w:hint="eastAsia" w:ascii="仿宋" w:hAnsi="仿宋" w:eastAsia="仿宋" w:cs="仿宋"/>
          <w:sz w:val="28"/>
          <w:szCs w:val="28"/>
        </w:rPr>
        <w:t>按规定公务接待费报销需提供的附件材料为“三单一函”，即：聊城大学公务接待审批单、聊城大学公务接待清单、消费明细单、单位公函。</w:t>
      </w:r>
    </w:p>
    <w:p>
      <w:pPr>
        <w:pStyle w:val="3"/>
        <w:bidi w:val="0"/>
        <w:rPr>
          <w:rFonts w:hint="eastAsia" w:ascii="仿宋" w:hAnsi="仿宋" w:eastAsia="仿宋" w:cs="仿宋"/>
        </w:rPr>
      </w:pPr>
      <w:bookmarkStart w:id="107" w:name="_Toc7048"/>
      <w:bookmarkStart w:id="108" w:name="_Toc29419"/>
      <w:bookmarkStart w:id="109" w:name="_Toc5361"/>
      <w:bookmarkStart w:id="110" w:name="_Toc4550"/>
      <w:r>
        <w:rPr>
          <w:rFonts w:hint="eastAsia" w:ascii="仿宋" w:hAnsi="仿宋" w:eastAsia="仿宋" w:cs="仿宋"/>
        </w:rPr>
        <w:t>外宾来校日常伙食标准</w:t>
      </w:r>
      <w:bookmarkEnd w:id="107"/>
      <w:bookmarkEnd w:id="108"/>
      <w:bookmarkEnd w:id="109"/>
      <w:bookmarkEnd w:id="110"/>
    </w:p>
    <w:p>
      <w:pPr>
        <w:ind w:firstLine="560" w:firstLineChars="200"/>
        <w:rPr>
          <w:rFonts w:hint="eastAsia" w:ascii="仿宋" w:hAnsi="仿宋" w:eastAsia="仿宋" w:cs="仿宋"/>
          <w:sz w:val="28"/>
          <w:szCs w:val="28"/>
        </w:rPr>
      </w:pPr>
      <w:r>
        <w:rPr>
          <w:rFonts w:hint="eastAsia" w:ascii="仿宋" w:hAnsi="仿宋" w:eastAsia="仿宋" w:cs="仿宋"/>
          <w:sz w:val="28"/>
          <w:szCs w:val="28"/>
        </w:rPr>
        <w:t>按照《山东省省直机关外宾接待经费管理办法》规定，</w:t>
      </w:r>
      <w:r>
        <w:rPr>
          <w:rFonts w:hint="eastAsia" w:ascii="仿宋" w:hAnsi="仿宋" w:eastAsia="仿宋" w:cs="仿宋"/>
          <w:color w:val="333333"/>
          <w:sz w:val="28"/>
          <w:szCs w:val="28"/>
        </w:rPr>
        <w:t>外宾日常伙食费（含酒水、饮料）标准：国家元首、政府首脑级每人每天不超过600元；副总统、副总理和正、副议长级每人每天不超过550元；正、副部长级每人每天不超过500元；其他人员每人每天不超过300元。</w:t>
      </w:r>
    </w:p>
    <w:p>
      <w:pPr>
        <w:pStyle w:val="3"/>
        <w:bidi w:val="0"/>
        <w:rPr>
          <w:rFonts w:hint="eastAsia" w:ascii="仿宋" w:hAnsi="仿宋" w:eastAsia="仿宋" w:cs="仿宋"/>
          <w:b/>
          <w:szCs w:val="28"/>
          <w:lang w:val="en-US" w:eastAsia="zh-CN"/>
        </w:rPr>
      </w:pPr>
      <w:bookmarkStart w:id="111" w:name="_Toc1760"/>
      <w:bookmarkStart w:id="112" w:name="_Toc18037"/>
      <w:bookmarkStart w:id="113" w:name="_Toc13507"/>
      <w:bookmarkStart w:id="114" w:name="_Toc6084"/>
      <w:r>
        <w:rPr>
          <w:rFonts w:hint="eastAsia" w:ascii="仿宋" w:hAnsi="仿宋" w:eastAsia="仿宋" w:cs="仿宋"/>
        </w:rPr>
        <w:t>外宾来华期间宴</w:t>
      </w:r>
      <w:bookmarkStart w:id="289" w:name="_GoBack"/>
      <w:bookmarkEnd w:id="289"/>
      <w:r>
        <w:rPr>
          <w:rFonts w:hint="eastAsia" w:ascii="仿宋" w:hAnsi="仿宋" w:eastAsia="仿宋" w:cs="仿宋"/>
        </w:rPr>
        <w:t>请</w:t>
      </w:r>
      <w:r>
        <w:rPr>
          <w:rFonts w:hint="eastAsia" w:ascii="仿宋" w:hAnsi="仿宋" w:eastAsia="仿宋" w:cs="仿宋"/>
          <w:lang w:val="en-US" w:eastAsia="zh-CN"/>
        </w:rPr>
        <w:t>规定</w:t>
      </w:r>
      <w:bookmarkEnd w:id="111"/>
      <w:bookmarkEnd w:id="112"/>
      <w:bookmarkEnd w:id="113"/>
      <w:bookmarkEnd w:id="114"/>
    </w:p>
    <w:p>
      <w:pPr>
        <w:ind w:firstLine="560" w:firstLineChars="20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宴请外宾严格按照中央关于外宾在华期间宴请不得超过2次的规定执行。</w:t>
      </w:r>
    </w:p>
    <w:p>
      <w:pPr>
        <w:pStyle w:val="3"/>
        <w:bidi w:val="0"/>
        <w:rPr>
          <w:rFonts w:hint="eastAsia" w:ascii="仿宋" w:hAnsi="仿宋" w:eastAsia="仿宋" w:cs="仿宋"/>
        </w:rPr>
      </w:pPr>
      <w:bookmarkStart w:id="115" w:name="_Toc707"/>
      <w:bookmarkStart w:id="116" w:name="_Toc19683"/>
      <w:bookmarkStart w:id="117" w:name="_Toc14689"/>
      <w:bookmarkStart w:id="118" w:name="_Toc23892"/>
      <w:r>
        <w:rPr>
          <w:rFonts w:hint="eastAsia" w:ascii="仿宋" w:hAnsi="仿宋" w:eastAsia="仿宋" w:cs="仿宋"/>
        </w:rPr>
        <w:t>外宾来华期间宴请标准</w:t>
      </w:r>
      <w:bookmarkEnd w:id="115"/>
      <w:bookmarkEnd w:id="116"/>
      <w:bookmarkEnd w:id="117"/>
      <w:bookmarkEnd w:id="118"/>
    </w:p>
    <w:p>
      <w:pPr>
        <w:ind w:firstLine="560" w:firstLineChars="20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外宾宴请费（含酒水、饮料）标准：正、副省级人员出面举办的宴会，每人每次不超过400元；厅局级及以下人员出面举办的宴会，每人每次不超过300元。冷餐、酒会、茶会分别为每人每次不超过150元、100元、60元。</w:t>
      </w:r>
    </w:p>
    <w:p>
      <w:pPr>
        <w:pStyle w:val="3"/>
        <w:bidi w:val="0"/>
        <w:rPr>
          <w:rFonts w:hint="eastAsia" w:ascii="仿宋" w:hAnsi="仿宋" w:eastAsia="仿宋" w:cs="仿宋"/>
        </w:rPr>
      </w:pPr>
      <w:bookmarkStart w:id="119" w:name="_Toc29959"/>
      <w:bookmarkStart w:id="120" w:name="_Toc23719"/>
      <w:bookmarkStart w:id="121" w:name="_Toc26425"/>
      <w:bookmarkStart w:id="122" w:name="_Toc29051"/>
      <w:r>
        <w:rPr>
          <w:rFonts w:hint="eastAsia" w:ascii="仿宋" w:hAnsi="仿宋" w:eastAsia="仿宋" w:cs="仿宋"/>
        </w:rPr>
        <w:t>宴请外宾时国内陪同人员规定</w:t>
      </w:r>
      <w:bookmarkEnd w:id="119"/>
      <w:bookmarkEnd w:id="120"/>
      <w:bookmarkEnd w:id="121"/>
      <w:bookmarkEnd w:id="122"/>
    </w:p>
    <w:p>
      <w:pPr>
        <w:ind w:firstLine="560" w:firstLineChars="200"/>
        <w:rPr>
          <w:rFonts w:hint="eastAsia" w:ascii="仿宋" w:hAnsi="仿宋" w:eastAsia="仿宋" w:cs="仿宋"/>
          <w:color w:val="333333"/>
          <w:sz w:val="28"/>
          <w:szCs w:val="28"/>
        </w:rPr>
      </w:pPr>
      <w:r>
        <w:rPr>
          <w:rFonts w:hint="eastAsia" w:ascii="仿宋" w:hAnsi="仿宋" w:eastAsia="仿宋" w:cs="仿宋"/>
          <w:color w:val="333333"/>
          <w:sz w:val="28"/>
          <w:szCs w:val="28"/>
        </w:rPr>
        <w:t>外宾5人（含）以内的，中外人数原则上在1∶1以内安排；外宾超过5人的，超过部分中外人数原则上在1∶2以内安排。</w:t>
      </w:r>
    </w:p>
    <w:p>
      <w:pPr>
        <w:pStyle w:val="3"/>
        <w:bidi w:val="0"/>
        <w:rPr>
          <w:rFonts w:hint="eastAsia" w:ascii="仿宋" w:hAnsi="仿宋" w:eastAsia="仿宋" w:cs="仿宋"/>
        </w:rPr>
      </w:pPr>
      <w:bookmarkStart w:id="123" w:name="_Toc1256"/>
      <w:bookmarkStart w:id="124" w:name="_Toc11200"/>
      <w:bookmarkStart w:id="125" w:name="_Toc2880"/>
      <w:bookmarkStart w:id="126" w:name="_Toc23076"/>
      <w:r>
        <w:rPr>
          <w:rFonts w:hint="eastAsia" w:ascii="仿宋" w:hAnsi="仿宋" w:eastAsia="仿宋" w:cs="仿宋"/>
        </w:rPr>
        <w:t>陪同外宾赴各市访问期间，陪同人员的伙食费、住宿费、交通费等开支标准</w:t>
      </w:r>
      <w:bookmarkEnd w:id="123"/>
      <w:bookmarkEnd w:id="124"/>
      <w:bookmarkEnd w:id="125"/>
      <w:bookmarkEnd w:id="126"/>
    </w:p>
    <w:p>
      <w:pPr>
        <w:ind w:firstLine="560" w:firstLineChars="200"/>
        <w:rPr>
          <w:rFonts w:hint="eastAsia" w:ascii="仿宋" w:hAnsi="仿宋" w:eastAsia="仿宋" w:cs="仿宋"/>
          <w:color w:val="333333"/>
          <w:sz w:val="28"/>
          <w:szCs w:val="28"/>
        </w:rPr>
      </w:pPr>
      <w:r>
        <w:rPr>
          <w:rFonts w:hint="eastAsia" w:ascii="仿宋" w:hAnsi="仿宋" w:eastAsia="仿宋" w:cs="仿宋"/>
          <w:color w:val="333333"/>
          <w:sz w:val="28"/>
          <w:szCs w:val="28"/>
        </w:rPr>
        <w:t>陪同外宾赴各市访问期间，陪同人员的伙食费、住宿费、交通费等开支标准按照差旅费管理有关规定执行。确需与外宾同餐、同住、同行的，经所在单位领导批准，可按对应的外宾接待标准实报实销。</w:t>
      </w:r>
    </w:p>
    <w:p>
      <w:pPr>
        <w:pStyle w:val="3"/>
        <w:bidi w:val="0"/>
        <w:rPr>
          <w:rFonts w:hint="eastAsia" w:ascii="仿宋" w:hAnsi="仿宋" w:eastAsia="仿宋" w:cs="仿宋"/>
        </w:rPr>
      </w:pPr>
      <w:bookmarkStart w:id="127" w:name="_Toc22911"/>
      <w:bookmarkStart w:id="128" w:name="_Toc6122"/>
      <w:bookmarkStart w:id="129" w:name="_Toc8636"/>
      <w:bookmarkStart w:id="130" w:name="_Toc31718"/>
      <w:r>
        <w:rPr>
          <w:rFonts w:hint="eastAsia" w:ascii="仿宋" w:hAnsi="仿宋" w:eastAsia="仿宋" w:cs="仿宋"/>
        </w:rPr>
        <w:t>承办会议后报销会议费需提供材料</w:t>
      </w:r>
      <w:bookmarkEnd w:id="127"/>
      <w:bookmarkEnd w:id="128"/>
      <w:bookmarkEnd w:id="129"/>
      <w:bookmarkEnd w:id="130"/>
    </w:p>
    <w:p>
      <w:pPr>
        <w:ind w:firstLine="560" w:firstLineChars="200"/>
        <w:rPr>
          <w:rFonts w:hint="eastAsia" w:ascii="仿宋" w:hAnsi="仿宋" w:eastAsia="仿宋" w:cs="仿宋"/>
          <w:b/>
          <w:color w:val="333333"/>
          <w:sz w:val="28"/>
          <w:szCs w:val="28"/>
        </w:rPr>
      </w:pPr>
      <w:r>
        <w:rPr>
          <w:rFonts w:hint="eastAsia" w:ascii="仿宋" w:hAnsi="仿宋" w:eastAsia="仿宋" w:cs="仿宋"/>
          <w:sz w:val="28"/>
          <w:szCs w:val="28"/>
        </w:rPr>
        <w:t>报销会议费需提供聊城大学会议审批单、会议通知、实际参会人员名单、会议服务单位提供的有关票据及费用明细单等相关材料。</w:t>
      </w:r>
    </w:p>
    <w:p>
      <w:pPr>
        <w:pStyle w:val="3"/>
        <w:bidi w:val="0"/>
        <w:rPr>
          <w:rFonts w:hint="eastAsia" w:ascii="仿宋" w:hAnsi="仿宋" w:eastAsia="仿宋" w:cs="仿宋"/>
        </w:rPr>
      </w:pPr>
      <w:bookmarkStart w:id="131" w:name="_Toc30338"/>
      <w:bookmarkStart w:id="132" w:name="_Toc9090"/>
      <w:bookmarkStart w:id="133" w:name="_Toc29411"/>
      <w:bookmarkStart w:id="134" w:name="_Toc14695"/>
      <w:r>
        <w:rPr>
          <w:rFonts w:hint="eastAsia" w:ascii="仿宋" w:hAnsi="仿宋" w:eastAsia="仿宋" w:cs="仿宋"/>
        </w:rPr>
        <w:t>会议费综合定额标准</w:t>
      </w:r>
      <w:bookmarkEnd w:id="131"/>
      <w:bookmarkEnd w:id="132"/>
      <w:bookmarkEnd w:id="133"/>
      <w:bookmarkEnd w:id="134"/>
    </w:p>
    <w:p>
      <w:pPr>
        <w:ind w:firstLine="6023" w:firstLineChars="2500"/>
        <w:rPr>
          <w:rFonts w:hint="eastAsia" w:ascii="仿宋" w:hAnsi="仿宋" w:eastAsia="仿宋" w:cs="仿宋"/>
          <w:b/>
          <w:sz w:val="24"/>
          <w:szCs w:val="24"/>
        </w:rPr>
      </w:pPr>
      <w:r>
        <w:rPr>
          <w:rFonts w:hint="eastAsia" w:ascii="仿宋" w:hAnsi="仿宋" w:eastAsia="仿宋" w:cs="仿宋"/>
          <w:b/>
          <w:sz w:val="24"/>
          <w:szCs w:val="24"/>
        </w:rPr>
        <w:t>单位：元/天/人</w:t>
      </w:r>
    </w:p>
    <w:tbl>
      <w:tblPr>
        <w:tblStyle w:val="1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1438"/>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01"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会议类别</w:t>
            </w:r>
          </w:p>
        </w:tc>
        <w:tc>
          <w:tcPr>
            <w:tcW w:w="1701"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住宿费</w:t>
            </w:r>
          </w:p>
        </w:tc>
        <w:tc>
          <w:tcPr>
            <w:tcW w:w="1438"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伙食费</w:t>
            </w:r>
          </w:p>
        </w:tc>
        <w:tc>
          <w:tcPr>
            <w:tcW w:w="1659"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其他费用</w:t>
            </w:r>
          </w:p>
        </w:tc>
        <w:tc>
          <w:tcPr>
            <w:tcW w:w="1660"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701"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管理类会议</w:t>
            </w:r>
          </w:p>
        </w:tc>
        <w:tc>
          <w:tcPr>
            <w:tcW w:w="17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240</w:t>
            </w:r>
          </w:p>
        </w:tc>
        <w:tc>
          <w:tcPr>
            <w:tcW w:w="14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130</w:t>
            </w:r>
          </w:p>
        </w:tc>
        <w:tc>
          <w:tcPr>
            <w:tcW w:w="16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80</w:t>
            </w:r>
          </w:p>
        </w:tc>
        <w:tc>
          <w:tcPr>
            <w:tcW w:w="166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701" w:type="dxa"/>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业务类会议</w:t>
            </w:r>
          </w:p>
        </w:tc>
        <w:tc>
          <w:tcPr>
            <w:tcW w:w="170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400</w:t>
            </w:r>
          </w:p>
        </w:tc>
        <w:tc>
          <w:tcPr>
            <w:tcW w:w="143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150</w:t>
            </w:r>
          </w:p>
        </w:tc>
        <w:tc>
          <w:tcPr>
            <w:tcW w:w="165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110</w:t>
            </w:r>
          </w:p>
        </w:tc>
        <w:tc>
          <w:tcPr>
            <w:tcW w:w="1660"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660</w:t>
            </w:r>
          </w:p>
        </w:tc>
      </w:tr>
    </w:tbl>
    <w:p>
      <w:pPr>
        <w:pStyle w:val="3"/>
        <w:bidi w:val="0"/>
        <w:rPr>
          <w:rFonts w:hint="eastAsia" w:ascii="仿宋" w:hAnsi="仿宋" w:eastAsia="仿宋" w:cs="仿宋"/>
        </w:rPr>
      </w:pPr>
      <w:bookmarkStart w:id="135" w:name="_Toc21040"/>
      <w:bookmarkStart w:id="136" w:name="_Toc4014"/>
      <w:bookmarkStart w:id="137" w:name="_Toc26036"/>
      <w:bookmarkStart w:id="138" w:name="_Toc28536"/>
      <w:r>
        <w:rPr>
          <w:rFonts w:hint="eastAsia" w:ascii="仿宋" w:hAnsi="仿宋" w:eastAsia="仿宋" w:cs="仿宋"/>
        </w:rPr>
        <w:t>会议费综合定额是否可以调剂使用</w:t>
      </w:r>
      <w:bookmarkEnd w:id="135"/>
      <w:bookmarkEnd w:id="136"/>
      <w:bookmarkEnd w:id="137"/>
      <w:bookmarkEnd w:id="138"/>
    </w:p>
    <w:p>
      <w:pPr>
        <w:ind w:firstLine="560" w:firstLineChars="200"/>
        <w:rPr>
          <w:rFonts w:hint="eastAsia" w:ascii="仿宋" w:hAnsi="仿宋" w:eastAsia="仿宋" w:cs="仿宋"/>
          <w:color w:val="333333"/>
          <w:sz w:val="28"/>
          <w:szCs w:val="28"/>
        </w:rPr>
      </w:pPr>
      <w:r>
        <w:rPr>
          <w:rFonts w:hint="eastAsia" w:ascii="仿宋" w:hAnsi="仿宋" w:eastAsia="仿宋" w:cs="仿宋"/>
          <w:sz w:val="28"/>
          <w:szCs w:val="28"/>
        </w:rPr>
        <w:t>综合定额中各项费用之间可以调剂使用，各类会议应当在综合定额标准之内结算报销。不安排住宿的会议，综合定额按照扣除住宿费后的定额标准执行，住宿费用不能调剂使用；不安排就餐的会议，综合定额按照扣除伙食费后的定额标准执行，伙食费不能调剂使用。</w:t>
      </w:r>
    </w:p>
    <w:p>
      <w:pPr>
        <w:pStyle w:val="3"/>
        <w:bidi w:val="0"/>
        <w:rPr>
          <w:rFonts w:hint="eastAsia" w:ascii="仿宋" w:hAnsi="仿宋" w:eastAsia="仿宋" w:cs="仿宋"/>
        </w:rPr>
      </w:pPr>
      <w:bookmarkStart w:id="139" w:name="_Toc7953"/>
      <w:bookmarkStart w:id="140" w:name="_Toc17145"/>
      <w:bookmarkStart w:id="141" w:name="_Toc2721"/>
      <w:bookmarkStart w:id="142" w:name="_Toc15582"/>
      <w:r>
        <w:rPr>
          <w:rFonts w:hint="eastAsia" w:ascii="仿宋" w:hAnsi="仿宋" w:eastAsia="仿宋" w:cs="仿宋"/>
        </w:rPr>
        <w:t>举办或承办培训后报销培训费用需提供材料</w:t>
      </w:r>
      <w:bookmarkEnd w:id="139"/>
      <w:bookmarkEnd w:id="140"/>
      <w:bookmarkEnd w:id="141"/>
      <w:bookmarkEnd w:id="142"/>
    </w:p>
    <w:p>
      <w:pPr>
        <w:ind w:firstLine="560" w:firstLineChars="200"/>
        <w:rPr>
          <w:rFonts w:hint="eastAsia" w:ascii="仿宋" w:hAnsi="仿宋" w:eastAsia="仿宋" w:cs="仿宋"/>
          <w:sz w:val="28"/>
          <w:szCs w:val="28"/>
        </w:rPr>
      </w:pPr>
      <w:r>
        <w:rPr>
          <w:rFonts w:hint="eastAsia" w:ascii="仿宋" w:hAnsi="仿宋" w:eastAsia="仿宋" w:cs="仿宋"/>
          <w:sz w:val="28"/>
          <w:szCs w:val="28"/>
        </w:rPr>
        <w:t>报销培训班费用的，需提供聊城大学培训项目审批表、培训通知、实际参训人员签到表以及培训费用发票、费用明细清单、POS机刷卡小票、入账说明相关材料。</w:t>
      </w:r>
    </w:p>
    <w:p>
      <w:pPr>
        <w:pStyle w:val="3"/>
        <w:bidi w:val="0"/>
        <w:rPr>
          <w:rFonts w:hint="eastAsia" w:ascii="仿宋" w:hAnsi="仿宋" w:eastAsia="仿宋" w:cs="仿宋"/>
        </w:rPr>
      </w:pPr>
      <w:bookmarkStart w:id="143" w:name="_Toc4811"/>
      <w:bookmarkStart w:id="144" w:name="_Toc29455"/>
      <w:bookmarkStart w:id="145" w:name="_Toc1478"/>
      <w:bookmarkStart w:id="146" w:name="_Toc24473"/>
      <w:r>
        <w:rPr>
          <w:rFonts w:hint="eastAsia" w:ascii="仿宋" w:hAnsi="仿宋" w:eastAsia="仿宋" w:cs="仿宋"/>
        </w:rPr>
        <w:t>培训费综合定额标准</w:t>
      </w:r>
      <w:bookmarkEnd w:id="143"/>
      <w:bookmarkEnd w:id="144"/>
      <w:bookmarkEnd w:id="145"/>
      <w:bookmarkEnd w:id="146"/>
    </w:p>
    <w:tbl>
      <w:tblPr>
        <w:tblStyle w:val="1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1433"/>
        <w:gridCol w:w="1225"/>
        <w:gridCol w:w="1323"/>
        <w:gridCol w:w="1372"/>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159" w:type="dxa"/>
            <w:gridSpan w:val="6"/>
            <w:vAlign w:val="center"/>
          </w:tcPr>
          <w:p>
            <w:pPr>
              <w:jc w:val="center"/>
              <w:outlineLvl w:val="2"/>
              <w:rPr>
                <w:rFonts w:hint="eastAsia" w:ascii="仿宋" w:hAnsi="仿宋" w:eastAsia="仿宋" w:cs="仿宋"/>
                <w:b/>
                <w:sz w:val="24"/>
                <w:szCs w:val="24"/>
              </w:rPr>
            </w:pPr>
            <w:bookmarkStart w:id="147" w:name="_Toc139"/>
            <w:r>
              <w:rPr>
                <w:rFonts w:hint="eastAsia" w:ascii="仿宋" w:hAnsi="仿宋" w:eastAsia="仿宋" w:cs="仿宋"/>
                <w:b/>
                <w:sz w:val="24"/>
                <w:szCs w:val="24"/>
              </w:rPr>
              <w:t>单位：元/天/人</w:t>
            </w:r>
            <w:bookmarkEnd w:id="1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405" w:type="dxa"/>
            <w:vAlign w:val="center"/>
          </w:tcPr>
          <w:p>
            <w:pPr>
              <w:jc w:val="center"/>
              <w:rPr>
                <w:rFonts w:hint="eastAsia" w:ascii="仿宋" w:hAnsi="仿宋" w:eastAsia="仿宋" w:cs="仿宋"/>
                <w:b/>
                <w:sz w:val="24"/>
                <w:szCs w:val="24"/>
                <w:lang w:val="en-US" w:eastAsia="zh-CN" w:bidi="hi-IN"/>
              </w:rPr>
            </w:pPr>
            <w:r>
              <w:rPr>
                <w:rFonts w:hint="eastAsia" w:ascii="仿宋" w:hAnsi="仿宋" w:eastAsia="仿宋" w:cs="仿宋"/>
                <w:b/>
                <w:sz w:val="24"/>
                <w:szCs w:val="24"/>
              </w:rPr>
              <w:t>项目</w:t>
            </w:r>
          </w:p>
        </w:tc>
        <w:tc>
          <w:tcPr>
            <w:tcW w:w="1433" w:type="dxa"/>
            <w:vAlign w:val="center"/>
          </w:tcPr>
          <w:p>
            <w:pPr>
              <w:jc w:val="center"/>
              <w:rPr>
                <w:rFonts w:hint="eastAsia" w:ascii="仿宋" w:hAnsi="仿宋" w:eastAsia="仿宋" w:cs="仿宋"/>
                <w:b/>
                <w:sz w:val="24"/>
                <w:szCs w:val="24"/>
                <w:lang w:val="en-US" w:eastAsia="zh-CN" w:bidi="hi-IN"/>
              </w:rPr>
            </w:pPr>
            <w:r>
              <w:rPr>
                <w:rFonts w:hint="eastAsia" w:ascii="仿宋" w:hAnsi="仿宋" w:eastAsia="仿宋" w:cs="仿宋"/>
                <w:b/>
                <w:sz w:val="24"/>
                <w:szCs w:val="24"/>
              </w:rPr>
              <w:t>住宿费</w:t>
            </w:r>
          </w:p>
        </w:tc>
        <w:tc>
          <w:tcPr>
            <w:tcW w:w="1225" w:type="dxa"/>
            <w:vAlign w:val="center"/>
          </w:tcPr>
          <w:p>
            <w:pPr>
              <w:jc w:val="center"/>
              <w:rPr>
                <w:rFonts w:hint="eastAsia" w:ascii="仿宋" w:hAnsi="仿宋" w:eastAsia="仿宋" w:cs="仿宋"/>
                <w:b/>
                <w:sz w:val="24"/>
                <w:szCs w:val="24"/>
                <w:lang w:val="en-US" w:eastAsia="zh-CN" w:bidi="hi-IN"/>
              </w:rPr>
            </w:pPr>
            <w:r>
              <w:rPr>
                <w:rFonts w:hint="eastAsia" w:ascii="仿宋" w:hAnsi="仿宋" w:eastAsia="仿宋" w:cs="仿宋"/>
                <w:b/>
                <w:sz w:val="24"/>
                <w:szCs w:val="24"/>
              </w:rPr>
              <w:t>伙食费</w:t>
            </w:r>
          </w:p>
        </w:tc>
        <w:tc>
          <w:tcPr>
            <w:tcW w:w="1323" w:type="dxa"/>
            <w:vAlign w:val="top"/>
          </w:tcPr>
          <w:p>
            <w:pPr>
              <w:jc w:val="center"/>
              <w:rPr>
                <w:rFonts w:hint="eastAsia" w:ascii="仿宋" w:hAnsi="仿宋" w:eastAsia="仿宋" w:cs="仿宋"/>
                <w:b/>
                <w:sz w:val="24"/>
                <w:szCs w:val="24"/>
                <w:lang w:val="en-US" w:eastAsia="zh-CN" w:bidi="hi-IN"/>
              </w:rPr>
            </w:pPr>
            <w:r>
              <w:rPr>
                <w:rFonts w:hint="eastAsia" w:ascii="仿宋" w:hAnsi="仿宋" w:eastAsia="仿宋" w:cs="仿宋"/>
                <w:b/>
                <w:sz w:val="24"/>
                <w:szCs w:val="24"/>
              </w:rPr>
              <w:t>场地资料交通</w:t>
            </w:r>
          </w:p>
        </w:tc>
        <w:tc>
          <w:tcPr>
            <w:tcW w:w="1372" w:type="dxa"/>
            <w:vAlign w:val="center"/>
          </w:tcPr>
          <w:p>
            <w:pPr>
              <w:jc w:val="center"/>
              <w:rPr>
                <w:rFonts w:hint="eastAsia" w:ascii="仿宋" w:hAnsi="仿宋" w:eastAsia="仿宋" w:cs="仿宋"/>
                <w:b/>
                <w:sz w:val="24"/>
                <w:szCs w:val="24"/>
                <w:lang w:val="en-US" w:eastAsia="zh-CN" w:bidi="hi-IN"/>
              </w:rPr>
            </w:pPr>
            <w:r>
              <w:rPr>
                <w:rFonts w:hint="eastAsia" w:ascii="仿宋" w:hAnsi="仿宋" w:eastAsia="仿宋" w:cs="仿宋"/>
                <w:b/>
                <w:sz w:val="24"/>
                <w:szCs w:val="24"/>
              </w:rPr>
              <w:t>其他费用</w:t>
            </w:r>
          </w:p>
        </w:tc>
        <w:tc>
          <w:tcPr>
            <w:tcW w:w="1401" w:type="dxa"/>
            <w:vAlign w:val="center"/>
          </w:tcPr>
          <w:p>
            <w:pPr>
              <w:jc w:val="center"/>
              <w:rPr>
                <w:rFonts w:hint="eastAsia" w:ascii="仿宋" w:hAnsi="仿宋" w:eastAsia="仿宋" w:cs="仿宋"/>
                <w:b/>
                <w:sz w:val="24"/>
                <w:szCs w:val="24"/>
                <w:lang w:val="en-US" w:eastAsia="zh-CN" w:bidi="hi-IN"/>
              </w:rPr>
            </w:pPr>
            <w:r>
              <w:rPr>
                <w:rFonts w:hint="eastAsia" w:ascii="仿宋" w:hAnsi="仿宋" w:eastAsia="仿宋" w:cs="仿宋"/>
                <w:b/>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405" w:type="dxa"/>
            <w:vAlign w:val="center"/>
          </w:tcPr>
          <w:p>
            <w:pPr>
              <w:jc w:val="center"/>
              <w:rPr>
                <w:rFonts w:hint="eastAsia" w:ascii="仿宋" w:hAnsi="仿宋" w:eastAsia="仿宋" w:cs="仿宋"/>
                <w:b/>
                <w:sz w:val="24"/>
                <w:szCs w:val="24"/>
                <w:lang w:val="en-US" w:eastAsia="zh-CN" w:bidi="hi-IN"/>
              </w:rPr>
            </w:pPr>
            <w:r>
              <w:rPr>
                <w:rFonts w:hint="eastAsia" w:ascii="仿宋" w:hAnsi="仿宋" w:eastAsia="仿宋" w:cs="仿宋"/>
                <w:b/>
                <w:sz w:val="24"/>
                <w:szCs w:val="24"/>
              </w:rPr>
              <w:t>定额标准</w:t>
            </w:r>
          </w:p>
        </w:tc>
        <w:tc>
          <w:tcPr>
            <w:tcW w:w="1433" w:type="dxa"/>
            <w:vAlign w:val="center"/>
          </w:tcPr>
          <w:p>
            <w:pPr>
              <w:jc w:val="center"/>
              <w:rPr>
                <w:rFonts w:hint="eastAsia" w:ascii="仿宋" w:hAnsi="仿宋" w:eastAsia="仿宋" w:cs="仿宋"/>
                <w:sz w:val="24"/>
                <w:szCs w:val="24"/>
                <w:lang w:val="en-US" w:eastAsia="zh-CN" w:bidi="hi-IN"/>
              </w:rPr>
            </w:pPr>
            <w:r>
              <w:rPr>
                <w:rFonts w:hint="eastAsia" w:ascii="仿宋" w:hAnsi="仿宋" w:eastAsia="仿宋" w:cs="仿宋"/>
                <w:sz w:val="24"/>
                <w:szCs w:val="24"/>
              </w:rPr>
              <w:t>240</w:t>
            </w:r>
          </w:p>
        </w:tc>
        <w:tc>
          <w:tcPr>
            <w:tcW w:w="1225" w:type="dxa"/>
            <w:vAlign w:val="center"/>
          </w:tcPr>
          <w:p>
            <w:pPr>
              <w:jc w:val="center"/>
              <w:rPr>
                <w:rFonts w:hint="eastAsia" w:ascii="仿宋" w:hAnsi="仿宋" w:eastAsia="仿宋" w:cs="仿宋"/>
                <w:sz w:val="24"/>
                <w:szCs w:val="24"/>
                <w:lang w:val="en-US" w:eastAsia="zh-CN" w:bidi="hi-IN"/>
              </w:rPr>
            </w:pPr>
            <w:r>
              <w:rPr>
                <w:rFonts w:hint="eastAsia" w:ascii="仿宋" w:hAnsi="仿宋" w:eastAsia="仿宋" w:cs="仿宋"/>
                <w:sz w:val="24"/>
                <w:szCs w:val="24"/>
              </w:rPr>
              <w:t>130</w:t>
            </w:r>
          </w:p>
        </w:tc>
        <w:tc>
          <w:tcPr>
            <w:tcW w:w="1323" w:type="dxa"/>
            <w:vAlign w:val="center"/>
          </w:tcPr>
          <w:p>
            <w:pPr>
              <w:jc w:val="center"/>
              <w:rPr>
                <w:rFonts w:hint="eastAsia" w:ascii="仿宋" w:hAnsi="仿宋" w:eastAsia="仿宋" w:cs="仿宋"/>
                <w:sz w:val="24"/>
                <w:szCs w:val="24"/>
                <w:lang w:val="en-US" w:eastAsia="zh-CN" w:bidi="hi-IN"/>
              </w:rPr>
            </w:pPr>
            <w:r>
              <w:rPr>
                <w:rFonts w:hint="eastAsia" w:ascii="仿宋" w:hAnsi="仿宋" w:eastAsia="仿宋" w:cs="仿宋"/>
                <w:sz w:val="24"/>
                <w:szCs w:val="24"/>
              </w:rPr>
              <w:t>50</w:t>
            </w:r>
          </w:p>
        </w:tc>
        <w:tc>
          <w:tcPr>
            <w:tcW w:w="1372" w:type="dxa"/>
            <w:vAlign w:val="center"/>
          </w:tcPr>
          <w:p>
            <w:pPr>
              <w:jc w:val="center"/>
              <w:rPr>
                <w:rFonts w:hint="eastAsia" w:ascii="仿宋" w:hAnsi="仿宋" w:eastAsia="仿宋" w:cs="仿宋"/>
                <w:sz w:val="24"/>
                <w:szCs w:val="24"/>
                <w:lang w:val="en-US" w:eastAsia="zh-CN" w:bidi="hi-IN"/>
              </w:rPr>
            </w:pPr>
            <w:r>
              <w:rPr>
                <w:rFonts w:hint="eastAsia" w:ascii="仿宋" w:hAnsi="仿宋" w:eastAsia="仿宋" w:cs="仿宋"/>
                <w:sz w:val="24"/>
                <w:szCs w:val="24"/>
              </w:rPr>
              <w:t>30</w:t>
            </w:r>
          </w:p>
        </w:tc>
        <w:tc>
          <w:tcPr>
            <w:tcW w:w="1401" w:type="dxa"/>
            <w:vAlign w:val="center"/>
          </w:tcPr>
          <w:p>
            <w:pPr>
              <w:jc w:val="center"/>
              <w:rPr>
                <w:rFonts w:hint="eastAsia" w:ascii="仿宋" w:hAnsi="仿宋" w:eastAsia="仿宋" w:cs="仿宋"/>
                <w:sz w:val="24"/>
                <w:szCs w:val="24"/>
                <w:lang w:val="en-US" w:eastAsia="zh-CN" w:bidi="hi-IN"/>
              </w:rPr>
            </w:pPr>
            <w:r>
              <w:rPr>
                <w:rFonts w:hint="eastAsia" w:ascii="仿宋" w:hAnsi="仿宋" w:eastAsia="仿宋" w:cs="仿宋"/>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159" w:type="dxa"/>
            <w:gridSpan w:val="6"/>
            <w:vAlign w:val="center"/>
          </w:tcPr>
          <w:p>
            <w:pPr>
              <w:ind w:firstLine="482" w:firstLineChars="200"/>
              <w:jc w:val="center"/>
              <w:outlineLvl w:val="2"/>
              <w:rPr>
                <w:rFonts w:hint="eastAsia" w:ascii="仿宋" w:hAnsi="仿宋" w:eastAsia="仿宋" w:cs="仿宋"/>
                <w:b/>
                <w:color w:val="333333"/>
                <w:sz w:val="24"/>
                <w:szCs w:val="24"/>
              </w:rPr>
            </w:pPr>
            <w:bookmarkStart w:id="148" w:name="_Toc32446"/>
            <w:bookmarkStart w:id="149" w:name="_Toc13032"/>
            <w:bookmarkStart w:id="150" w:name="_Toc936"/>
            <w:r>
              <w:rPr>
                <w:rFonts w:hint="eastAsia" w:ascii="仿宋" w:hAnsi="仿宋" w:eastAsia="仿宋" w:cs="仿宋"/>
                <w:b/>
                <w:color w:val="333333"/>
                <w:sz w:val="24"/>
                <w:szCs w:val="24"/>
              </w:rPr>
              <w:t>（注：上述定额标准不含外聘师资费）</w:t>
            </w:r>
            <w:bookmarkEnd w:id="148"/>
          </w:p>
        </w:tc>
      </w:tr>
    </w:tbl>
    <w:p>
      <w:pPr>
        <w:pStyle w:val="3"/>
        <w:bidi w:val="0"/>
        <w:rPr>
          <w:rFonts w:hint="eastAsia" w:ascii="仿宋" w:hAnsi="仿宋" w:eastAsia="仿宋" w:cs="仿宋"/>
        </w:rPr>
      </w:pPr>
      <w:bookmarkStart w:id="151" w:name="_Toc1810"/>
      <w:bookmarkStart w:id="152" w:name="_Toc28098"/>
      <w:r>
        <w:rPr>
          <w:rFonts w:hint="eastAsia" w:ascii="仿宋" w:hAnsi="仿宋" w:eastAsia="仿宋" w:cs="仿宋"/>
        </w:rPr>
        <w:t>培训费综合定额是否可以调剂使用</w:t>
      </w:r>
      <w:bookmarkEnd w:id="149"/>
      <w:bookmarkEnd w:id="150"/>
      <w:bookmarkEnd w:id="151"/>
      <w:bookmarkEnd w:id="152"/>
    </w:p>
    <w:p>
      <w:pPr>
        <w:ind w:firstLine="560" w:firstLineChars="200"/>
        <w:rPr>
          <w:rFonts w:hint="eastAsia" w:ascii="仿宋" w:hAnsi="仿宋" w:eastAsia="仿宋" w:cs="仿宋"/>
          <w:sz w:val="28"/>
          <w:szCs w:val="28"/>
        </w:rPr>
      </w:pPr>
      <w:r>
        <w:rPr>
          <w:rFonts w:hint="eastAsia" w:ascii="仿宋" w:hAnsi="仿宋" w:eastAsia="仿宋" w:cs="仿宋"/>
          <w:sz w:val="28"/>
          <w:szCs w:val="28"/>
        </w:rPr>
        <w:t>综合定额中各项费用之间可以调剂使用，培训费用应当在综合定额标准之内结算报销。不安排住宿的培训，综合定额按照扣除住宿费后的定额标准执行，住宿费用不能调剂使用；不安排就餐的培训，综合定额按照扣除伙食费后的定额标准执行，伙食费不能调剂使用。</w:t>
      </w:r>
    </w:p>
    <w:p>
      <w:pPr>
        <w:pStyle w:val="3"/>
        <w:bidi w:val="0"/>
        <w:rPr>
          <w:rFonts w:hint="eastAsia" w:ascii="仿宋" w:hAnsi="仿宋" w:eastAsia="仿宋" w:cs="仿宋"/>
          <w:lang w:val="en-US" w:eastAsia="zh-CN"/>
        </w:rPr>
      </w:pPr>
      <w:bookmarkStart w:id="153" w:name="_Toc4230"/>
      <w:bookmarkStart w:id="154" w:name="_Toc31878"/>
      <w:bookmarkStart w:id="155" w:name="_Toc14846"/>
      <w:bookmarkStart w:id="156" w:name="_Toc4417"/>
      <w:r>
        <w:rPr>
          <w:rFonts w:hint="eastAsia" w:ascii="仿宋" w:hAnsi="仿宋" w:eastAsia="仿宋" w:cs="仿宋"/>
        </w:rPr>
        <w:t>集中批复类科研经费入账</w:t>
      </w:r>
      <w:r>
        <w:rPr>
          <w:rFonts w:hint="eastAsia" w:ascii="仿宋" w:hAnsi="仿宋" w:eastAsia="仿宋" w:cs="仿宋"/>
          <w:lang w:val="en-US" w:eastAsia="zh-CN"/>
        </w:rPr>
        <w:t>规定</w:t>
      </w:r>
      <w:bookmarkEnd w:id="153"/>
      <w:bookmarkEnd w:id="154"/>
      <w:bookmarkEnd w:id="155"/>
      <w:bookmarkEnd w:id="156"/>
    </w:p>
    <w:p>
      <w:pPr>
        <w:ind w:firstLine="560" w:firstLineChars="200"/>
        <w:rPr>
          <w:rFonts w:hint="eastAsia" w:ascii="仿宋" w:hAnsi="仿宋" w:eastAsia="仿宋" w:cs="仿宋"/>
          <w:sz w:val="28"/>
          <w:szCs w:val="28"/>
        </w:rPr>
      </w:pPr>
      <w:r>
        <w:rPr>
          <w:rFonts w:hint="eastAsia" w:ascii="仿宋" w:hAnsi="仿宋" w:eastAsia="仿宋" w:cs="仿宋"/>
          <w:sz w:val="28"/>
          <w:szCs w:val="28"/>
        </w:rPr>
        <w:t>由科研主管部门将签好字的说明、分配表和电子版送至财务处，财务处根据分配表入账。</w:t>
      </w:r>
    </w:p>
    <w:p>
      <w:pPr>
        <w:pStyle w:val="3"/>
        <w:bidi w:val="0"/>
        <w:rPr>
          <w:rFonts w:hint="eastAsia" w:ascii="仿宋" w:hAnsi="仿宋" w:eastAsia="仿宋" w:cs="仿宋"/>
          <w:lang w:val="en-US" w:eastAsia="zh-CN"/>
        </w:rPr>
      </w:pPr>
      <w:bookmarkStart w:id="157" w:name="_Toc4887"/>
      <w:bookmarkStart w:id="158" w:name="_Toc14266"/>
      <w:bookmarkStart w:id="159" w:name="_Toc32627"/>
      <w:bookmarkStart w:id="160" w:name="_Toc3983"/>
      <w:r>
        <w:rPr>
          <w:rFonts w:hint="eastAsia" w:ascii="仿宋" w:hAnsi="仿宋" w:eastAsia="仿宋" w:cs="仿宋"/>
        </w:rPr>
        <w:t>单独立项科研经费财务入账手续</w:t>
      </w:r>
      <w:bookmarkEnd w:id="157"/>
      <w:bookmarkEnd w:id="158"/>
      <w:bookmarkEnd w:id="159"/>
      <w:bookmarkEnd w:id="160"/>
    </w:p>
    <w:p>
      <w:pPr>
        <w:ind w:firstLine="560" w:firstLineChars="200"/>
        <w:rPr>
          <w:rFonts w:hint="eastAsia" w:ascii="仿宋" w:hAnsi="仿宋" w:eastAsia="仿宋" w:cs="仿宋"/>
          <w:sz w:val="28"/>
          <w:szCs w:val="28"/>
        </w:rPr>
      </w:pPr>
      <w:r>
        <w:rPr>
          <w:rFonts w:hint="eastAsia" w:ascii="仿宋" w:hAnsi="仿宋" w:eastAsia="仿宋" w:cs="仿宋"/>
          <w:sz w:val="28"/>
          <w:szCs w:val="28"/>
        </w:rPr>
        <w:t>项目负责人或经办人在“聊大财务”微信公众号上查询到款信息，带合同原件及来款信息到科研主管部门办理经费分配手续，然后到财务处办理入账手续，同时提供以下材料：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合同原件（后续资金提供合同复印件）、到账经费分配表、银行到账单（在财务处领取）、税务发票（应税项目）。</w:t>
      </w:r>
    </w:p>
    <w:p>
      <w:pPr>
        <w:pStyle w:val="3"/>
        <w:bidi w:val="0"/>
        <w:rPr>
          <w:rFonts w:hint="eastAsia" w:ascii="仿宋" w:hAnsi="仿宋" w:eastAsia="仿宋" w:cs="仿宋"/>
        </w:rPr>
      </w:pPr>
      <w:bookmarkStart w:id="161" w:name="_Toc1508"/>
      <w:bookmarkStart w:id="162" w:name="_Toc3736"/>
      <w:bookmarkStart w:id="163" w:name="_Toc9382"/>
      <w:bookmarkStart w:id="164" w:name="_Toc21538"/>
      <w:r>
        <w:rPr>
          <w:rFonts w:hint="eastAsia" w:ascii="仿宋" w:hAnsi="仿宋" w:eastAsia="仿宋" w:cs="仿宋"/>
        </w:rPr>
        <w:t>科研项目经费资金支付是否受公务卡结算条件限制</w:t>
      </w:r>
      <w:bookmarkEnd w:id="161"/>
      <w:bookmarkEnd w:id="162"/>
      <w:bookmarkEnd w:id="163"/>
      <w:bookmarkEnd w:id="164"/>
    </w:p>
    <w:p>
      <w:pPr>
        <w:ind w:firstLine="560" w:firstLineChars="200"/>
        <w:rPr>
          <w:rFonts w:hint="eastAsia" w:ascii="仿宋" w:hAnsi="仿宋" w:eastAsia="仿宋" w:cs="仿宋"/>
          <w:sz w:val="28"/>
          <w:szCs w:val="28"/>
        </w:rPr>
      </w:pPr>
      <w:r>
        <w:rPr>
          <w:rFonts w:hint="eastAsia" w:ascii="仿宋" w:hAnsi="仿宋" w:eastAsia="仿宋" w:cs="仿宋"/>
          <w:sz w:val="28"/>
          <w:szCs w:val="28"/>
        </w:rPr>
        <w:t>根据上级有关文件及学校文件规定，横纵向科研经费资金支付不受公务卡结算条件限制。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校级科研项目（校内立项）仍然按照公务卡结算范围实施公务卡结算。</w:t>
      </w:r>
    </w:p>
    <w:p>
      <w:pPr>
        <w:pStyle w:val="3"/>
        <w:bidi w:val="0"/>
        <w:rPr>
          <w:rFonts w:hint="eastAsia" w:ascii="仿宋" w:hAnsi="仿宋" w:eastAsia="仿宋" w:cs="仿宋"/>
        </w:rPr>
      </w:pPr>
      <w:bookmarkStart w:id="165" w:name="_Toc4689"/>
      <w:bookmarkStart w:id="166" w:name="_Toc7169"/>
      <w:bookmarkStart w:id="167" w:name="_Toc5695"/>
      <w:bookmarkStart w:id="168" w:name="_Toc5129"/>
      <w:r>
        <w:rPr>
          <w:rFonts w:hint="eastAsia" w:ascii="仿宋" w:hAnsi="仿宋" w:eastAsia="仿宋" w:cs="仿宋"/>
        </w:rPr>
        <w:t>科研项目结题决算数据</w:t>
      </w:r>
      <w:r>
        <w:rPr>
          <w:rFonts w:hint="eastAsia" w:ascii="仿宋" w:hAnsi="仿宋" w:eastAsia="仿宋" w:cs="仿宋"/>
          <w:lang w:val="en-US" w:eastAsia="zh-CN"/>
        </w:rPr>
        <w:t>填报</w:t>
      </w:r>
      <w:bookmarkEnd w:id="165"/>
      <w:bookmarkEnd w:id="166"/>
      <w:bookmarkEnd w:id="167"/>
      <w:bookmarkEnd w:id="168"/>
      <w:r>
        <w:rPr>
          <w:rFonts w:hint="eastAsia" w:ascii="仿宋" w:hAnsi="仿宋" w:eastAsia="仿宋" w:cs="仿宋"/>
        </w:rPr>
        <w:t xml:space="preserve"> </w:t>
      </w:r>
    </w:p>
    <w:p>
      <w:pPr>
        <w:ind w:firstLine="560" w:firstLineChars="20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科研项目结题时，项目负责人需先从网上财务查询系统中，查询相关项目收支明细表，据实填写，结题报告上的决算金额要求与财务查询系统中的金额一致。</w:t>
      </w:r>
    </w:p>
    <w:p>
      <w:pPr>
        <w:pStyle w:val="3"/>
        <w:bidi w:val="0"/>
        <w:rPr>
          <w:rFonts w:hint="eastAsia" w:ascii="仿宋" w:hAnsi="仿宋" w:eastAsia="仿宋" w:cs="仿宋"/>
        </w:rPr>
      </w:pPr>
      <w:bookmarkStart w:id="169" w:name="_Toc18386"/>
      <w:bookmarkStart w:id="170" w:name="_Toc14026"/>
      <w:bookmarkStart w:id="171" w:name="_Toc7301"/>
      <w:bookmarkStart w:id="172" w:name="_Toc324"/>
      <w:r>
        <w:rPr>
          <w:rFonts w:hint="eastAsia" w:ascii="仿宋" w:hAnsi="仿宋" w:eastAsia="仿宋" w:cs="仿宋"/>
        </w:rPr>
        <w:t>科研协作费外拨及项目负责人调离科研经费转出手续</w:t>
      </w:r>
      <w:bookmarkEnd w:id="169"/>
      <w:bookmarkEnd w:id="170"/>
      <w:bookmarkEnd w:id="171"/>
      <w:bookmarkEnd w:id="172"/>
    </w:p>
    <w:p>
      <w:pPr>
        <w:ind w:firstLine="560" w:firstLineChars="200"/>
        <w:rPr>
          <w:rFonts w:hint="eastAsia" w:ascii="仿宋" w:hAnsi="仿宋" w:eastAsia="仿宋" w:cs="仿宋"/>
          <w:color w:val="333333"/>
          <w:kern w:val="0"/>
          <w:sz w:val="28"/>
          <w:szCs w:val="28"/>
        </w:rPr>
      </w:pPr>
      <w:r>
        <w:rPr>
          <w:rFonts w:hint="eastAsia" w:ascii="仿宋" w:hAnsi="仿宋" w:eastAsia="仿宋" w:cs="仿宋"/>
          <w:sz w:val="28"/>
          <w:szCs w:val="28"/>
        </w:rPr>
        <w:t>外拨科研协作费需附相关合同、立项批复等相关依据，并经科研主管部门负责人签批；项目负责人调离时转出科研项目经费，需有上级主管部门批准转出的依据，并经主管部门负责人、分管校领导签批。</w:t>
      </w:r>
    </w:p>
    <w:p>
      <w:pPr>
        <w:pStyle w:val="3"/>
        <w:bidi w:val="0"/>
        <w:rPr>
          <w:rFonts w:hint="eastAsia" w:ascii="仿宋" w:hAnsi="仿宋" w:eastAsia="仿宋" w:cs="仿宋"/>
        </w:rPr>
      </w:pPr>
      <w:bookmarkStart w:id="173" w:name="_Toc19673"/>
      <w:bookmarkStart w:id="174" w:name="_Toc28530"/>
      <w:bookmarkStart w:id="175" w:name="_Toc4670"/>
      <w:bookmarkStart w:id="176" w:name="_Toc3287"/>
      <w:r>
        <w:rPr>
          <w:rFonts w:hint="eastAsia" w:ascii="仿宋" w:hAnsi="仿宋" w:eastAsia="仿宋" w:cs="仿宋"/>
        </w:rPr>
        <w:t>举办培训班或学术报告外聘人员酬金发放标准</w:t>
      </w:r>
      <w:bookmarkEnd w:id="173"/>
      <w:bookmarkEnd w:id="174"/>
      <w:bookmarkEnd w:id="175"/>
      <w:bookmarkEnd w:id="176"/>
    </w:p>
    <w:p>
      <w:pPr>
        <w:ind w:firstLine="560" w:firstLineChars="200"/>
        <w:rPr>
          <w:rFonts w:hint="eastAsia" w:ascii="仿宋" w:hAnsi="仿宋" w:eastAsia="仿宋" w:cs="仿宋"/>
          <w:sz w:val="28"/>
          <w:szCs w:val="28"/>
        </w:rPr>
      </w:pPr>
      <w:r>
        <w:rPr>
          <w:rFonts w:hint="eastAsia" w:ascii="仿宋" w:hAnsi="仿宋" w:eastAsia="仿宋" w:cs="仿宋"/>
          <w:sz w:val="28"/>
          <w:szCs w:val="28"/>
        </w:rPr>
        <w:t>举办培训班或学术报告会的外聘专家讲课费按学时计算，每半天最多按4学时计，每学时讲课费执行下列标准（税后）：（1）副高级技术职称专业人员每学时最高不超过500元；（2）正高级技术职称专业人员每学时最高不超过1000元；（3）院士、全国知名专家每学时一般不超过1500元。</w:t>
      </w:r>
    </w:p>
    <w:tbl>
      <w:tblPr>
        <w:tblStyle w:val="16"/>
        <w:tblW w:w="8850" w:type="dxa"/>
        <w:tblInd w:w="93" w:type="dxa"/>
        <w:shd w:val="clear" w:color="auto" w:fill="auto"/>
        <w:tblLayout w:type="autofit"/>
        <w:tblCellMar>
          <w:top w:w="0" w:type="dxa"/>
          <w:left w:w="108" w:type="dxa"/>
          <w:bottom w:w="0" w:type="dxa"/>
          <w:right w:w="108" w:type="dxa"/>
        </w:tblCellMar>
      </w:tblPr>
      <w:tblGrid>
        <w:gridCol w:w="2530"/>
        <w:gridCol w:w="1986"/>
        <w:gridCol w:w="2530"/>
        <w:gridCol w:w="1804"/>
      </w:tblGrid>
      <w:tr>
        <w:tblPrEx>
          <w:shd w:val="clear" w:color="auto" w:fill="auto"/>
          <w:tblCellMar>
            <w:top w:w="0" w:type="dxa"/>
            <w:left w:w="108" w:type="dxa"/>
            <w:bottom w:w="0" w:type="dxa"/>
            <w:right w:w="108" w:type="dxa"/>
          </w:tblCellMar>
        </w:tblPrEx>
        <w:trPr>
          <w:trHeight w:val="285" w:hRule="atLeast"/>
        </w:trPr>
        <w:tc>
          <w:tcPr>
            <w:tcW w:w="8850" w:type="dxa"/>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劳务费税收计算公式</w:t>
            </w:r>
          </w:p>
        </w:tc>
      </w:tr>
      <w:tr>
        <w:tblPrEx>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单位：元</w:t>
            </w:r>
          </w:p>
        </w:tc>
      </w:tr>
      <w:tr>
        <w:tblPrEx>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固定额参考表</w:t>
            </w: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税前发放金额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扣税额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税后发放金额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4,404.76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4,761.90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5,952.38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7,142.86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11,904.76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21,000.00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23,809.52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36,842.10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6,842.10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jc w:val="right"/>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color="auto" w:fill="auto"/>
            <w:noWrap/>
            <w:vAlign w:val="bottom"/>
          </w:tcPr>
          <w:p>
            <w:pPr>
              <w:jc w:val="right"/>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color="auto" w:fill="auto"/>
            <w:noWrap/>
            <w:vAlign w:val="bottom"/>
          </w:tcPr>
          <w:p>
            <w:pPr>
              <w:jc w:val="right"/>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计算额公式参考表</w:t>
            </w:r>
          </w:p>
        </w:tc>
      </w:tr>
      <w:tr>
        <w:tblPrEx>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实发额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应发额计算公式</w:t>
            </w:r>
          </w:p>
        </w:tc>
      </w:tr>
      <w:tr>
        <w:tblPrEx>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3360元以下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（实发-160）/0.8</w:t>
            </w:r>
          </w:p>
        </w:tc>
      </w:tr>
      <w:tr>
        <w:tblPrEx>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3360元以上、21000元以下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实发/0.84</w:t>
            </w:r>
          </w:p>
        </w:tc>
      </w:tr>
      <w:tr>
        <w:tblPrEx>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21000元以上、49500元以下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(实发-2000)/0.76</w:t>
            </w:r>
          </w:p>
        </w:tc>
      </w:tr>
      <w:tr>
        <w:tblPrEx>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49500元以上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(实发-7000)/0.68</w:t>
            </w:r>
          </w:p>
        </w:tc>
      </w:tr>
      <w:tr>
        <w:tblPrEx>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仿宋" w:hAnsi="仿宋" w:eastAsia="仿宋" w:cs="仿宋"/>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应发额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实发额计算方式</w:t>
            </w:r>
          </w:p>
        </w:tc>
      </w:tr>
      <w:tr>
        <w:tblPrEx>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4000元以下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应发*0.8+160</w:t>
            </w:r>
          </w:p>
        </w:tc>
      </w:tr>
      <w:tr>
        <w:tblPrEx>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4000元以上，25000元以下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应发*0.84</w:t>
            </w:r>
          </w:p>
        </w:tc>
      </w:tr>
      <w:tr>
        <w:tblPrEx>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25000元以上，62500元以下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应发*0.76+2000</w:t>
            </w:r>
          </w:p>
        </w:tc>
      </w:tr>
      <w:tr>
        <w:tblPrEx>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62500元以上</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应发*0.68+7000</w:t>
            </w:r>
          </w:p>
        </w:tc>
      </w:tr>
    </w:tbl>
    <w:p>
      <w:pPr>
        <w:pStyle w:val="3"/>
        <w:bidi w:val="0"/>
        <w:rPr>
          <w:rFonts w:hint="eastAsia" w:ascii="仿宋" w:hAnsi="仿宋" w:eastAsia="仿宋" w:cs="仿宋"/>
        </w:rPr>
      </w:pPr>
      <w:bookmarkStart w:id="177" w:name="_Toc24041"/>
      <w:bookmarkStart w:id="178" w:name="_Toc8703"/>
      <w:bookmarkStart w:id="179" w:name="_Toc8355"/>
      <w:bookmarkStart w:id="180" w:name="_Toc27534"/>
      <w:r>
        <w:rPr>
          <w:rFonts w:hint="eastAsia" w:ascii="仿宋" w:hAnsi="仿宋" w:eastAsia="仿宋" w:cs="仿宋"/>
        </w:rPr>
        <w:t>借调人员费用及补助报销手续</w:t>
      </w:r>
      <w:bookmarkEnd w:id="177"/>
      <w:bookmarkEnd w:id="178"/>
      <w:bookmarkEnd w:id="179"/>
      <w:bookmarkEnd w:id="180"/>
    </w:p>
    <w:p>
      <w:pPr>
        <w:ind w:firstLine="560" w:firstLineChars="200"/>
        <w:rPr>
          <w:rFonts w:hint="eastAsia" w:ascii="仿宋" w:hAnsi="仿宋" w:eastAsia="仿宋" w:cs="仿宋"/>
          <w:sz w:val="28"/>
          <w:szCs w:val="28"/>
        </w:rPr>
      </w:pPr>
      <w:r>
        <w:rPr>
          <w:rFonts w:hint="eastAsia" w:ascii="仿宋" w:hAnsi="仿宋" w:eastAsia="仿宋" w:cs="仿宋"/>
          <w:sz w:val="28"/>
          <w:szCs w:val="28"/>
        </w:rPr>
        <w:t>外单位借调我校职工帮助工作的相关费用，在借调期满后方可汇总报销。报销时需附借调函(需写明交通、伙食补助的发放情况)、学校相关部门审批单、由校长签批的费用汇总说明。住宿费、往返城市间交通工具乘坐标准按《聊城大学差旅费管理办法》（聊大校发[2014]104号）有关规定执行。交通补助与伙食补助按每人每天100元（两项合计）标准发放，借调单位已发放交通、伙食补助的，学校不给予补助。</w:t>
      </w:r>
    </w:p>
    <w:p>
      <w:pPr>
        <w:pStyle w:val="3"/>
        <w:bidi w:val="0"/>
        <w:rPr>
          <w:rFonts w:hint="eastAsia" w:ascii="仿宋" w:hAnsi="仿宋" w:eastAsia="仿宋" w:cs="仿宋"/>
        </w:rPr>
      </w:pPr>
      <w:bookmarkStart w:id="181" w:name="_Toc14158"/>
      <w:bookmarkStart w:id="182" w:name="_Toc9540"/>
      <w:bookmarkStart w:id="183" w:name="_Toc28802"/>
      <w:bookmarkStart w:id="184" w:name="_Toc15764"/>
      <w:r>
        <w:rPr>
          <w:rFonts w:hint="eastAsia" w:ascii="仿宋" w:hAnsi="仿宋" w:eastAsia="仿宋" w:cs="仿宋"/>
        </w:rPr>
        <w:t>票据借用手续</w:t>
      </w:r>
      <w:bookmarkEnd w:id="181"/>
      <w:bookmarkEnd w:id="182"/>
      <w:bookmarkEnd w:id="183"/>
      <w:bookmarkEnd w:id="184"/>
    </w:p>
    <w:p>
      <w:pPr>
        <w:ind w:firstLine="560" w:firstLineChars="200"/>
        <w:rPr>
          <w:rFonts w:hint="eastAsia" w:ascii="仿宋" w:hAnsi="仿宋" w:eastAsia="仿宋" w:cs="仿宋"/>
          <w:sz w:val="28"/>
          <w:szCs w:val="28"/>
        </w:rPr>
      </w:pPr>
      <w:r>
        <w:rPr>
          <w:rFonts w:hint="eastAsia" w:ascii="仿宋" w:hAnsi="仿宋" w:eastAsia="仿宋" w:cs="仿宋"/>
          <w:sz w:val="28"/>
          <w:szCs w:val="28"/>
        </w:rPr>
        <w:t>借用票据时需提交合作交易合同（或协议）原件及借用票据申请书，列明借用票据原因、票据金额、付款单位名称及其统一社会信用代码。申请书上需要申请人、主管部门业务人员和财务处副处长签字。</w:t>
      </w:r>
    </w:p>
    <w:p>
      <w:pPr>
        <w:pStyle w:val="3"/>
        <w:bidi w:val="0"/>
        <w:rPr>
          <w:rFonts w:hint="eastAsia" w:ascii="仿宋" w:hAnsi="仿宋" w:eastAsia="仿宋" w:cs="仿宋"/>
        </w:rPr>
      </w:pPr>
      <w:bookmarkStart w:id="185" w:name="_Toc2530"/>
      <w:bookmarkStart w:id="186" w:name="_Toc16140"/>
      <w:bookmarkStart w:id="187" w:name="_Toc17352"/>
      <w:bookmarkStart w:id="188" w:name="_Toc17100"/>
      <w:r>
        <w:rPr>
          <w:rFonts w:hint="eastAsia" w:ascii="仿宋" w:hAnsi="仿宋" w:eastAsia="仿宋" w:cs="仿宋"/>
        </w:rPr>
        <w:t>报销维修工程费用需提供材料</w:t>
      </w:r>
      <w:bookmarkEnd w:id="185"/>
      <w:bookmarkEnd w:id="186"/>
      <w:bookmarkEnd w:id="187"/>
      <w:bookmarkEnd w:id="188"/>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维修工程费用报销需提供工程合同（或任务书）、中标通知书或招投标记录（学校新招标采购办法规定2万元以上的）、审计报告表、验收报告、固定资产验收单（或资产管理处出具不做固定资产的证明），由工程管理部门注明经费来源及是否为政府采购项目。</w:t>
      </w:r>
    </w:p>
    <w:p>
      <w:pPr>
        <w:pStyle w:val="3"/>
        <w:bidi w:val="0"/>
        <w:rPr>
          <w:rFonts w:hint="eastAsia" w:ascii="仿宋" w:hAnsi="仿宋" w:eastAsia="仿宋" w:cs="仿宋"/>
        </w:rPr>
      </w:pPr>
      <w:bookmarkStart w:id="189" w:name="_Toc22805"/>
      <w:bookmarkStart w:id="190" w:name="_Toc30554"/>
      <w:bookmarkStart w:id="191" w:name="_Toc23944"/>
      <w:bookmarkStart w:id="192" w:name="_Toc14635"/>
      <w:r>
        <w:rPr>
          <w:rFonts w:hint="eastAsia" w:ascii="仿宋" w:hAnsi="仿宋" w:eastAsia="仿宋" w:cs="仿宋"/>
        </w:rPr>
        <w:t>固定资产报增价值标准</w:t>
      </w:r>
      <w:bookmarkEnd w:id="189"/>
      <w:bookmarkEnd w:id="190"/>
      <w:bookmarkEnd w:id="191"/>
      <w:bookmarkEnd w:id="192"/>
    </w:p>
    <w:p>
      <w:pPr>
        <w:ind w:firstLine="560" w:firstLineChars="200"/>
        <w:rPr>
          <w:rFonts w:hint="eastAsia" w:ascii="仿宋" w:hAnsi="仿宋" w:eastAsia="仿宋" w:cs="仿宋"/>
          <w:sz w:val="28"/>
          <w:szCs w:val="28"/>
        </w:rPr>
      </w:pPr>
      <w:r>
        <w:rPr>
          <w:rFonts w:hint="eastAsia" w:ascii="仿宋" w:hAnsi="仿宋" w:eastAsia="仿宋" w:cs="仿宋"/>
          <w:sz w:val="28"/>
          <w:szCs w:val="28"/>
        </w:rPr>
        <w:t>凡报销价值在1000元以上的一般设备、1500元以上的专用设备，使用年限一年以上的，或者价值未达标准，耐用时间在一年以上的大批同类物资，到资产管理部门办理固定资产报增手续。</w:t>
      </w:r>
    </w:p>
    <w:p>
      <w:pPr>
        <w:pStyle w:val="3"/>
        <w:bidi w:val="0"/>
        <w:rPr>
          <w:rFonts w:hint="eastAsia" w:ascii="仿宋" w:hAnsi="仿宋" w:eastAsia="仿宋" w:cs="仿宋"/>
        </w:rPr>
      </w:pPr>
      <w:bookmarkStart w:id="193" w:name="_Toc14963"/>
      <w:bookmarkStart w:id="194" w:name="_Toc18736"/>
      <w:bookmarkStart w:id="195" w:name="_Toc4885"/>
      <w:bookmarkStart w:id="196" w:name="_Toc24524"/>
      <w:r>
        <w:rPr>
          <w:rFonts w:hint="eastAsia" w:ascii="仿宋" w:hAnsi="仿宋" w:eastAsia="仿宋" w:cs="仿宋"/>
        </w:rPr>
        <w:t>报销固定资产购置费用</w:t>
      </w:r>
      <w:r>
        <w:rPr>
          <w:rFonts w:hint="eastAsia" w:ascii="仿宋" w:hAnsi="仿宋" w:eastAsia="仿宋" w:cs="仿宋"/>
          <w:lang w:val="en-US" w:eastAsia="zh-CN"/>
        </w:rPr>
        <w:t>需</w:t>
      </w:r>
      <w:r>
        <w:rPr>
          <w:rFonts w:hint="eastAsia" w:ascii="仿宋" w:hAnsi="仿宋" w:eastAsia="仿宋" w:cs="仿宋"/>
        </w:rPr>
        <w:t>提供材料</w:t>
      </w:r>
      <w:bookmarkEnd w:id="193"/>
      <w:bookmarkEnd w:id="194"/>
      <w:bookmarkEnd w:id="195"/>
      <w:bookmarkEnd w:id="196"/>
    </w:p>
    <w:p>
      <w:pPr>
        <w:ind w:firstLine="560" w:firstLineChars="200"/>
        <w:rPr>
          <w:rFonts w:hint="eastAsia" w:ascii="仿宋" w:hAnsi="仿宋" w:eastAsia="仿宋" w:cs="仿宋"/>
          <w:sz w:val="28"/>
          <w:szCs w:val="28"/>
        </w:rPr>
      </w:pPr>
      <w:r>
        <w:rPr>
          <w:rFonts w:hint="eastAsia" w:ascii="仿宋" w:hAnsi="仿宋" w:eastAsia="仿宋" w:cs="仿宋"/>
          <w:sz w:val="28"/>
          <w:szCs w:val="28"/>
        </w:rPr>
        <w:t>（1）按政府采购流程采购的固定资产，报销时应提供政府采购合同、验收报告单、固定资产验收单、购货发票、履约保证金凭证等相关材料，并注明项目资金来源。</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（2）通过其他程序采购的固定资产，报销时提供采购合同（2万元及以上的）、采购记录表、固定资产验收单、验收报告单、购货发票等相关材料。</w:t>
      </w:r>
    </w:p>
    <w:p>
      <w:pPr>
        <w:pStyle w:val="3"/>
        <w:bidi w:val="0"/>
        <w:rPr>
          <w:rFonts w:hint="eastAsia" w:ascii="仿宋" w:hAnsi="仿宋" w:eastAsia="仿宋" w:cs="仿宋"/>
        </w:rPr>
      </w:pPr>
      <w:bookmarkStart w:id="197" w:name="_Toc6754"/>
      <w:bookmarkStart w:id="198" w:name="_Toc30284"/>
      <w:bookmarkStart w:id="199" w:name="_Toc2122"/>
      <w:bookmarkStart w:id="200" w:name="_Toc4708"/>
      <w:r>
        <w:rPr>
          <w:rFonts w:hint="eastAsia" w:ascii="仿宋" w:hAnsi="仿宋" w:eastAsia="仿宋" w:cs="仿宋"/>
        </w:rPr>
        <w:t>报销图书资料</w:t>
      </w:r>
      <w:r>
        <w:rPr>
          <w:rFonts w:hint="eastAsia" w:ascii="仿宋" w:hAnsi="仿宋" w:eastAsia="仿宋" w:cs="仿宋"/>
          <w:lang w:val="en-US" w:eastAsia="zh-CN"/>
        </w:rPr>
        <w:t>需</w:t>
      </w:r>
      <w:r>
        <w:rPr>
          <w:rFonts w:hint="eastAsia" w:ascii="仿宋" w:hAnsi="仿宋" w:eastAsia="仿宋" w:cs="仿宋"/>
        </w:rPr>
        <w:t>提供材料</w:t>
      </w:r>
      <w:bookmarkEnd w:id="197"/>
      <w:bookmarkEnd w:id="198"/>
      <w:bookmarkEnd w:id="199"/>
      <w:bookmarkEnd w:id="200"/>
    </w:p>
    <w:p>
      <w:pPr>
        <w:pStyle w:val="22"/>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报销图书（含电子图书）购置费的，需附“固定资产验收单”，具体流程为：资料员验收签字→图书馆报增资产→资产管理处加盖“资产审核”章。未形成资产的资料费，经由图书资料报增负责人签署意见方可报销。</w:t>
      </w:r>
    </w:p>
    <w:p>
      <w:pPr>
        <w:pStyle w:val="2"/>
        <w:bidi w:val="0"/>
        <w:rPr>
          <w:rFonts w:hint="eastAsia" w:ascii="仿宋" w:hAnsi="仿宋" w:eastAsia="仿宋" w:cs="仿宋"/>
          <w:sz w:val="28"/>
          <w:szCs w:val="28"/>
        </w:rPr>
      </w:pPr>
      <w:bookmarkStart w:id="201" w:name="_Toc31997"/>
      <w:bookmarkStart w:id="202" w:name="_Toc32359"/>
      <w:bookmarkStart w:id="203" w:name="_Toc22240"/>
      <w:bookmarkStart w:id="204" w:name="_Toc24641"/>
      <w:r>
        <w:rPr>
          <w:rFonts w:hint="eastAsia" w:ascii="仿宋" w:hAnsi="仿宋" w:eastAsia="仿宋" w:cs="仿宋"/>
        </w:rPr>
        <w:t>银行账户、来款、</w:t>
      </w:r>
      <w:r>
        <w:rPr>
          <w:rFonts w:hint="eastAsia" w:ascii="仿宋" w:hAnsi="仿宋" w:eastAsia="仿宋" w:cs="仿宋"/>
          <w:lang w:val="en-US" w:eastAsia="zh-CN"/>
        </w:rPr>
        <w:t>报销</w:t>
      </w:r>
      <w:r>
        <w:rPr>
          <w:rFonts w:hint="eastAsia" w:ascii="仿宋" w:hAnsi="仿宋" w:eastAsia="仿宋" w:cs="仿宋"/>
        </w:rPr>
        <w:t>退款</w:t>
      </w:r>
      <w:r>
        <w:rPr>
          <w:rFonts w:hint="eastAsia" w:ascii="仿宋" w:hAnsi="仿宋" w:eastAsia="仿宋" w:cs="仿宋"/>
          <w:lang w:val="en-US" w:eastAsia="zh-CN"/>
        </w:rPr>
        <w:t>服务指南</w:t>
      </w:r>
      <w:bookmarkEnd w:id="201"/>
      <w:bookmarkEnd w:id="202"/>
      <w:bookmarkEnd w:id="203"/>
      <w:bookmarkEnd w:id="204"/>
      <w:r>
        <w:rPr>
          <w:rFonts w:hint="eastAsia" w:ascii="仿宋" w:hAnsi="仿宋" w:eastAsia="仿宋" w:cs="仿宋"/>
        </w:rPr>
        <w:t xml:space="preserve"> </w:t>
      </w:r>
    </w:p>
    <w:p>
      <w:pPr>
        <w:pStyle w:val="3"/>
        <w:bidi w:val="0"/>
        <w:rPr>
          <w:rFonts w:hint="eastAsia" w:ascii="仿宋" w:hAnsi="仿宋" w:eastAsia="仿宋" w:cs="仿宋"/>
          <w:lang w:val="en-US" w:eastAsia="zh-CN"/>
        </w:rPr>
      </w:pPr>
      <w:bookmarkStart w:id="205" w:name="_Toc20538"/>
      <w:bookmarkStart w:id="206" w:name="_Toc7361"/>
      <w:bookmarkStart w:id="207" w:name="_Toc7463"/>
      <w:bookmarkStart w:id="208" w:name="_Toc13716"/>
      <w:r>
        <w:rPr>
          <w:rFonts w:hint="eastAsia" w:ascii="仿宋" w:hAnsi="仿宋" w:eastAsia="仿宋" w:cs="仿宋"/>
          <w:lang w:val="en-US" w:eastAsia="zh-CN"/>
        </w:rPr>
        <w:t>银行账户信息</w:t>
      </w:r>
      <w:bookmarkEnd w:id="205"/>
      <w:bookmarkEnd w:id="206"/>
      <w:bookmarkEnd w:id="207"/>
      <w:bookmarkEnd w:id="208"/>
    </w:p>
    <w:p>
      <w:pPr>
        <w:pStyle w:val="4"/>
        <w:bidi w:val="0"/>
        <w:rPr>
          <w:rFonts w:hint="eastAsia" w:ascii="仿宋" w:hAnsi="仿宋" w:eastAsia="仿宋" w:cs="仿宋"/>
        </w:rPr>
      </w:pPr>
      <w:bookmarkStart w:id="209" w:name="_Toc14119"/>
      <w:r>
        <w:rPr>
          <w:rFonts w:hint="eastAsia" w:ascii="仿宋" w:hAnsi="仿宋" w:eastAsia="仿宋" w:cs="仿宋"/>
          <w:lang w:val="en-US" w:eastAsia="zh-CN"/>
        </w:rPr>
        <w:t>“聊城大学”银行账户信息</w:t>
      </w:r>
      <w:bookmarkEnd w:id="209"/>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户名：聊城大学</w:t>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账号：15811101040000395</w:t>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开户行：农行聊城东昌府支行</w:t>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联行号：103471081118</w:t>
      </w:r>
    </w:p>
    <w:p>
      <w:pPr>
        <w:pStyle w:val="4"/>
        <w:bidi w:val="0"/>
        <w:rPr>
          <w:rFonts w:hint="eastAsia" w:ascii="仿宋" w:hAnsi="仿宋" w:eastAsia="仿宋" w:cs="仿宋"/>
          <w:lang w:val="en-US" w:eastAsia="zh-CN"/>
        </w:rPr>
      </w:pPr>
      <w:bookmarkStart w:id="210" w:name="_Toc29731"/>
      <w:r>
        <w:rPr>
          <w:rFonts w:hint="eastAsia" w:ascii="仿宋" w:hAnsi="仿宋" w:eastAsia="仿宋" w:cs="仿宋"/>
          <w:lang w:val="en-US" w:eastAsia="zh-CN"/>
        </w:rPr>
        <w:t>“聊城大学教育发展基金会”银行账户信息</w:t>
      </w:r>
      <w:bookmarkEnd w:id="210"/>
    </w:p>
    <w:p>
      <w:pPr>
        <w:pStyle w:val="22"/>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户名：聊城大学教育发展基金会</w:t>
      </w:r>
    </w:p>
    <w:p>
      <w:pPr>
        <w:pStyle w:val="22"/>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账号：15811101040011871</w:t>
      </w:r>
    </w:p>
    <w:p>
      <w:pPr>
        <w:pStyle w:val="22"/>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开户行：农行聊城东昌府支行</w:t>
      </w:r>
    </w:p>
    <w:p>
      <w:pPr>
        <w:pStyle w:val="4"/>
        <w:bidi w:val="0"/>
        <w:rPr>
          <w:rFonts w:hint="eastAsia" w:ascii="仿宋" w:hAnsi="仿宋" w:eastAsia="仿宋" w:cs="仿宋"/>
          <w:lang w:val="en-US" w:eastAsia="zh-CN"/>
        </w:rPr>
      </w:pPr>
      <w:bookmarkStart w:id="211" w:name="_Toc27880"/>
      <w:r>
        <w:rPr>
          <w:rFonts w:hint="eastAsia" w:ascii="仿宋" w:hAnsi="仿宋" w:eastAsia="仿宋" w:cs="仿宋"/>
          <w:lang w:val="en-US" w:eastAsia="zh-CN"/>
        </w:rPr>
        <w:t>“中国教育工会聊城大学委员会”银行账户信息</w:t>
      </w:r>
      <w:bookmarkEnd w:id="211"/>
    </w:p>
    <w:p>
      <w:pPr>
        <w:pStyle w:val="22"/>
        <w:numPr>
          <w:ilvl w:val="0"/>
          <w:numId w:val="0"/>
        </w:numPr>
        <w:ind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户名：中国教育工会聊城大学委员会</w:t>
      </w:r>
    </w:p>
    <w:p>
      <w:pPr>
        <w:pStyle w:val="22"/>
        <w:numPr>
          <w:ilvl w:val="0"/>
          <w:numId w:val="0"/>
        </w:numPr>
        <w:ind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账号：15811101040017084</w:t>
      </w:r>
    </w:p>
    <w:p>
      <w:pPr>
        <w:pStyle w:val="22"/>
        <w:numPr>
          <w:ilvl w:val="0"/>
          <w:numId w:val="0"/>
        </w:numPr>
        <w:ind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开户行：农行聊城东昌府支行</w:t>
      </w:r>
    </w:p>
    <w:p>
      <w:pPr>
        <w:pStyle w:val="4"/>
        <w:bidi w:val="0"/>
        <w:rPr>
          <w:rFonts w:hint="eastAsia" w:ascii="仿宋" w:hAnsi="仿宋" w:eastAsia="仿宋" w:cs="仿宋"/>
          <w:lang w:val="en-US" w:eastAsia="zh-CN"/>
        </w:rPr>
      </w:pPr>
      <w:bookmarkStart w:id="212" w:name="_Toc16731"/>
      <w:r>
        <w:rPr>
          <w:rFonts w:hint="eastAsia" w:ascii="仿宋" w:hAnsi="仿宋" w:eastAsia="仿宋" w:cs="仿宋"/>
          <w:lang w:val="en-US" w:eastAsia="zh-CN"/>
        </w:rPr>
        <w:t>“中国共产党聊城大学委员会组织部”银行账户信息（党费户）</w:t>
      </w:r>
      <w:bookmarkEnd w:id="212"/>
    </w:p>
    <w:p>
      <w:pPr>
        <w:pStyle w:val="22"/>
        <w:numPr>
          <w:ilvl w:val="0"/>
          <w:numId w:val="0"/>
        </w:numPr>
        <w:ind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户名：中国共产党聊城大学委员会组织部</w:t>
      </w:r>
    </w:p>
    <w:p>
      <w:pPr>
        <w:pStyle w:val="22"/>
        <w:numPr>
          <w:ilvl w:val="0"/>
          <w:numId w:val="0"/>
        </w:numPr>
        <w:ind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账号：15811101040013620</w:t>
      </w:r>
    </w:p>
    <w:p>
      <w:pPr>
        <w:pStyle w:val="22"/>
        <w:numPr>
          <w:ilvl w:val="0"/>
          <w:numId w:val="0"/>
        </w:numPr>
        <w:ind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开户行：农行聊城东昌府支行</w:t>
      </w:r>
    </w:p>
    <w:p>
      <w:pPr>
        <w:pStyle w:val="22"/>
        <w:numPr>
          <w:ilvl w:val="0"/>
          <w:numId w:val="0"/>
        </w:numPr>
        <w:ind w:leftChars="0" w:firstLine="560" w:firstLineChars="200"/>
        <w:rPr>
          <w:rFonts w:hint="eastAsia" w:ascii="仿宋" w:hAnsi="仿宋" w:eastAsia="仿宋" w:cs="仿宋"/>
          <w:b w:val="0"/>
          <w:bCs w:val="0"/>
          <w:sz w:val="28"/>
          <w:szCs w:val="28"/>
          <w:lang w:val="en-US" w:eastAsia="zh-CN"/>
        </w:rPr>
      </w:pPr>
    </w:p>
    <w:p>
      <w:pPr>
        <w:pStyle w:val="22"/>
        <w:ind w:firstLine="480" w:firstLineChars="200"/>
        <w:rPr>
          <w:rFonts w:hint="eastAsia" w:ascii="仿宋" w:hAnsi="仿宋" w:eastAsia="仿宋" w:cs="仿宋"/>
          <w:i w:val="0"/>
          <w:iCs w:val="0"/>
          <w:sz w:val="28"/>
          <w:szCs w:val="28"/>
        </w:rPr>
      </w:pPr>
      <w:r>
        <w:rPr>
          <w:rFonts w:hint="eastAsia" w:ascii="仿宋" w:hAnsi="仿宋" w:eastAsia="仿宋" w:cs="仿宋"/>
          <w:i w:val="0"/>
          <w:iCs w:val="0"/>
          <w:sz w:val="24"/>
          <w:szCs w:val="24"/>
        </w:rPr>
        <w:t>温馨提示：关注“聊大财务”微信公众号--通知公告--学校信用代码即可查询到相关账户信息。</w:t>
      </w:r>
      <w:r>
        <w:rPr>
          <w:rFonts w:hint="eastAsia" w:ascii="仿宋" w:hAnsi="仿宋" w:eastAsia="仿宋" w:cs="仿宋"/>
          <w:i w:val="0"/>
          <w:iCs w:val="0"/>
          <w:sz w:val="28"/>
          <w:szCs w:val="28"/>
        </w:rPr>
        <w:t xml:space="preserve"> </w:t>
      </w:r>
    </w:p>
    <w:p>
      <w:pPr>
        <w:pStyle w:val="3"/>
        <w:bidi w:val="0"/>
        <w:rPr>
          <w:rFonts w:hint="eastAsia" w:ascii="仿宋" w:hAnsi="仿宋" w:eastAsia="仿宋" w:cs="仿宋"/>
        </w:rPr>
      </w:pPr>
      <w:bookmarkStart w:id="213" w:name="_Toc11983"/>
      <w:bookmarkStart w:id="214" w:name="_Toc24050"/>
      <w:bookmarkStart w:id="215" w:name="_Toc31950"/>
      <w:bookmarkStart w:id="216" w:name="_Toc4645"/>
      <w:r>
        <w:rPr>
          <w:rFonts w:hint="eastAsia" w:ascii="仿宋" w:hAnsi="仿宋" w:eastAsia="仿宋" w:cs="仿宋"/>
        </w:rPr>
        <w:t>外单位来款到账</w:t>
      </w:r>
      <w:r>
        <w:rPr>
          <w:rFonts w:hint="eastAsia" w:ascii="仿宋" w:hAnsi="仿宋" w:eastAsia="仿宋" w:cs="仿宋"/>
          <w:lang w:val="en-US" w:eastAsia="zh-CN"/>
        </w:rPr>
        <w:t>查询方式</w:t>
      </w:r>
      <w:bookmarkEnd w:id="213"/>
      <w:bookmarkEnd w:id="214"/>
      <w:bookmarkEnd w:id="215"/>
      <w:bookmarkEnd w:id="216"/>
      <w:r>
        <w:rPr>
          <w:rFonts w:hint="eastAsia" w:ascii="仿宋" w:hAnsi="仿宋" w:eastAsia="仿宋" w:cs="仿宋"/>
        </w:rPr>
        <w:t xml:space="preserve"> </w:t>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一是</w:t>
      </w:r>
      <w:r>
        <w:rPr>
          <w:rFonts w:hint="eastAsia" w:ascii="仿宋" w:hAnsi="仿宋" w:eastAsia="仿宋" w:cs="仿宋"/>
          <w:sz w:val="28"/>
          <w:szCs w:val="28"/>
        </w:rPr>
        <w:t>“聊大财务”微信公众号→业务查询→来款查询。</w:t>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二是</w:t>
      </w:r>
      <w:r>
        <w:rPr>
          <w:rFonts w:hint="eastAsia" w:ascii="仿宋" w:hAnsi="仿宋" w:eastAsia="仿宋" w:cs="仿宋"/>
          <w:sz w:val="28"/>
          <w:szCs w:val="28"/>
        </w:rPr>
        <w:t>登录“数字聊大”→应用中心→财务综合平台→财务查询系统→来款信息；</w:t>
      </w:r>
    </w:p>
    <w:p>
      <w:pPr>
        <w:pStyle w:val="22"/>
        <w:ind w:firstLine="480" w:firstLineChars="200"/>
        <w:rPr>
          <w:rFonts w:hint="eastAsia" w:ascii="仿宋" w:hAnsi="仿宋" w:eastAsia="仿宋" w:cs="仿宋"/>
          <w:sz w:val="28"/>
          <w:szCs w:val="28"/>
        </w:rPr>
      </w:pPr>
      <w:r>
        <w:rPr>
          <w:rFonts w:hint="eastAsia" w:ascii="仿宋" w:hAnsi="仿宋" w:eastAsia="仿宋" w:cs="仿宋"/>
          <w:i w:val="0"/>
          <w:iCs w:val="0"/>
          <w:color w:val="auto"/>
          <w:kern w:val="2"/>
          <w:sz w:val="24"/>
          <w:szCs w:val="24"/>
          <w:lang w:val="en-US" w:eastAsia="zh-CN" w:bidi="ar-SA"/>
        </w:rPr>
        <w:t>温馨提示：来款信息每周一、三、五更新，如需急查款项到账情况，可致电8239107。</w:t>
      </w:r>
    </w:p>
    <w:p>
      <w:pPr>
        <w:pStyle w:val="3"/>
        <w:bidi w:val="0"/>
        <w:rPr>
          <w:rFonts w:hint="eastAsia" w:ascii="仿宋" w:hAnsi="仿宋" w:eastAsia="仿宋" w:cs="仿宋"/>
        </w:rPr>
      </w:pPr>
      <w:bookmarkStart w:id="217" w:name="_Toc30667"/>
      <w:bookmarkStart w:id="218" w:name="_Toc13018"/>
      <w:bookmarkStart w:id="219" w:name="_Toc9736"/>
      <w:bookmarkStart w:id="220" w:name="_Toc9160"/>
      <w:r>
        <w:rPr>
          <w:rFonts w:hint="eastAsia" w:ascii="仿宋" w:hAnsi="仿宋" w:eastAsia="仿宋" w:cs="仿宋"/>
          <w:lang w:val="en-US" w:eastAsia="zh-CN"/>
        </w:rPr>
        <w:t>报销</w:t>
      </w:r>
      <w:r>
        <w:rPr>
          <w:rFonts w:hint="eastAsia" w:ascii="仿宋" w:hAnsi="仿宋" w:eastAsia="仿宋" w:cs="仿宋"/>
        </w:rPr>
        <w:t>退款处理</w:t>
      </w:r>
      <w:bookmarkEnd w:id="217"/>
      <w:bookmarkEnd w:id="218"/>
      <w:bookmarkEnd w:id="219"/>
      <w:bookmarkEnd w:id="220"/>
      <w:r>
        <w:rPr>
          <w:rFonts w:hint="eastAsia" w:ascii="仿宋" w:hAnsi="仿宋" w:eastAsia="仿宋" w:cs="仿宋"/>
        </w:rPr>
        <w:t xml:space="preserve"> </w:t>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报销款项出现</w:t>
      </w:r>
      <w:r>
        <w:rPr>
          <w:rFonts w:hint="eastAsia" w:ascii="仿宋" w:hAnsi="仿宋" w:eastAsia="仿宋" w:cs="仿宋"/>
          <w:sz w:val="28"/>
          <w:szCs w:val="28"/>
        </w:rPr>
        <w:t>退款，财务将及时通知报销人，报销人应及时核实并提供正确信息，财务重新进行退款支付。退款原因</w:t>
      </w:r>
      <w:r>
        <w:rPr>
          <w:rFonts w:hint="eastAsia" w:ascii="仿宋" w:hAnsi="仿宋" w:eastAsia="仿宋" w:cs="仿宋"/>
          <w:sz w:val="28"/>
          <w:szCs w:val="28"/>
          <w:lang w:val="en-US" w:eastAsia="zh-CN"/>
        </w:rPr>
        <w:t>为</w:t>
      </w:r>
      <w:r>
        <w:rPr>
          <w:rFonts w:hint="eastAsia" w:ascii="仿宋" w:hAnsi="仿宋" w:eastAsia="仿宋" w:cs="仿宋"/>
          <w:sz w:val="28"/>
          <w:szCs w:val="28"/>
        </w:rPr>
        <w:t>：</w:t>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val="en-US" w:eastAsia="zh-CN"/>
        </w:rPr>
        <w:t>是</w:t>
      </w:r>
      <w:r>
        <w:rPr>
          <w:rFonts w:hint="eastAsia" w:ascii="仿宋" w:hAnsi="仿宋" w:eastAsia="仿宋" w:cs="仿宋"/>
          <w:sz w:val="28"/>
          <w:szCs w:val="28"/>
        </w:rPr>
        <w:t>提供的收款户名或账号错误；</w:t>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en-US" w:eastAsia="zh-CN"/>
        </w:rPr>
        <w:t>是</w:t>
      </w:r>
      <w:r>
        <w:rPr>
          <w:rFonts w:hint="eastAsia" w:ascii="仿宋" w:hAnsi="仿宋" w:eastAsia="仿宋" w:cs="仿宋"/>
          <w:sz w:val="28"/>
          <w:szCs w:val="28"/>
        </w:rPr>
        <w:t>提供的开户行没有落地城市；</w:t>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z w:val="28"/>
          <w:szCs w:val="28"/>
          <w:lang w:val="en-US" w:eastAsia="zh-CN"/>
        </w:rPr>
        <w:t>是</w:t>
      </w:r>
      <w:r>
        <w:rPr>
          <w:rFonts w:hint="eastAsia" w:ascii="仿宋" w:hAnsi="仿宋" w:eastAsia="仿宋" w:cs="仿宋"/>
          <w:sz w:val="28"/>
          <w:szCs w:val="28"/>
        </w:rPr>
        <w:t>提供的收款账户可能是二类账户，二类账户单笔和日累计交易限额均为 1 万元、年累计交易限额为 20 万元</w:t>
      </w:r>
      <w:r>
        <w:rPr>
          <w:rFonts w:hint="eastAsia" w:ascii="仿宋" w:hAnsi="仿宋" w:eastAsia="仿宋" w:cs="仿宋"/>
          <w:sz w:val="28"/>
          <w:szCs w:val="28"/>
          <w:lang w:eastAsia="zh-CN"/>
        </w:rPr>
        <w:t>。</w:t>
      </w:r>
    </w:p>
    <w:p>
      <w:pPr>
        <w:pStyle w:val="2"/>
        <w:bidi w:val="0"/>
        <w:rPr>
          <w:rFonts w:hint="eastAsia" w:ascii="仿宋" w:hAnsi="仿宋" w:eastAsia="仿宋" w:cs="仿宋"/>
          <w:sz w:val="28"/>
          <w:szCs w:val="28"/>
        </w:rPr>
      </w:pPr>
      <w:bookmarkStart w:id="221" w:name="_Toc11301"/>
      <w:bookmarkStart w:id="222" w:name="_Toc28714"/>
      <w:bookmarkStart w:id="223" w:name="_Toc25366"/>
      <w:bookmarkStart w:id="224" w:name="_Toc3121"/>
      <w:r>
        <w:rPr>
          <w:rFonts w:hint="eastAsia" w:ascii="仿宋" w:hAnsi="仿宋" w:eastAsia="仿宋" w:cs="仿宋"/>
        </w:rPr>
        <w:t>公务卡</w:t>
      </w:r>
      <w:r>
        <w:rPr>
          <w:rFonts w:hint="eastAsia" w:ascii="仿宋" w:hAnsi="仿宋" w:eastAsia="仿宋" w:cs="仿宋"/>
          <w:lang w:val="en-US" w:eastAsia="zh-CN"/>
        </w:rPr>
        <w:t>服务指南</w:t>
      </w:r>
      <w:bookmarkEnd w:id="221"/>
      <w:bookmarkEnd w:id="222"/>
      <w:bookmarkEnd w:id="223"/>
      <w:bookmarkEnd w:id="224"/>
    </w:p>
    <w:p>
      <w:pPr>
        <w:pStyle w:val="3"/>
        <w:bidi w:val="0"/>
        <w:rPr>
          <w:rFonts w:hint="eastAsia" w:ascii="仿宋" w:hAnsi="仿宋" w:eastAsia="仿宋" w:cs="仿宋"/>
        </w:rPr>
      </w:pPr>
      <w:bookmarkStart w:id="225" w:name="_Toc29107"/>
      <w:bookmarkStart w:id="226" w:name="_Toc8101"/>
      <w:bookmarkStart w:id="227" w:name="_Toc2113"/>
      <w:bookmarkStart w:id="228" w:name="_Toc25381"/>
      <w:r>
        <w:rPr>
          <w:rFonts w:hint="eastAsia" w:ascii="仿宋" w:hAnsi="仿宋" w:eastAsia="仿宋" w:cs="仿宋"/>
        </w:rPr>
        <w:t>公务卡</w:t>
      </w:r>
      <w:r>
        <w:rPr>
          <w:rFonts w:hint="eastAsia" w:ascii="仿宋" w:hAnsi="仿宋" w:eastAsia="仿宋" w:cs="仿宋"/>
          <w:lang w:val="en-US" w:eastAsia="zh-CN"/>
        </w:rPr>
        <w:t>申领</w:t>
      </w:r>
      <w:r>
        <w:rPr>
          <w:rFonts w:hint="eastAsia" w:ascii="仿宋" w:hAnsi="仿宋" w:eastAsia="仿宋" w:cs="仿宋"/>
        </w:rPr>
        <w:t>人员</w:t>
      </w:r>
      <w:bookmarkEnd w:id="225"/>
      <w:bookmarkEnd w:id="226"/>
      <w:bookmarkEnd w:id="227"/>
      <w:bookmarkEnd w:id="228"/>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我校正式且已发放工资的在职职工</w:t>
      </w:r>
      <w:r>
        <w:rPr>
          <w:rFonts w:hint="eastAsia" w:ascii="仿宋" w:hAnsi="仿宋" w:eastAsia="仿宋" w:cs="仿宋"/>
          <w:sz w:val="28"/>
          <w:szCs w:val="28"/>
          <w:lang w:val="en-US" w:eastAsia="zh-CN"/>
        </w:rPr>
        <w:t>可办理公务卡。</w:t>
      </w:r>
      <w:r>
        <w:rPr>
          <w:rFonts w:hint="eastAsia" w:ascii="仿宋" w:hAnsi="仿宋" w:eastAsia="仿宋" w:cs="仿宋"/>
          <w:sz w:val="28"/>
          <w:szCs w:val="28"/>
        </w:rPr>
        <w:t>临时工和退休职工</w:t>
      </w:r>
      <w:r>
        <w:rPr>
          <w:rFonts w:hint="eastAsia" w:ascii="仿宋" w:hAnsi="仿宋" w:eastAsia="仿宋" w:cs="仿宋"/>
          <w:sz w:val="28"/>
          <w:szCs w:val="28"/>
          <w:lang w:val="en-US" w:eastAsia="zh-CN"/>
        </w:rPr>
        <w:t>不能</w:t>
      </w:r>
      <w:r>
        <w:rPr>
          <w:rFonts w:hint="eastAsia" w:ascii="仿宋" w:hAnsi="仿宋" w:eastAsia="仿宋" w:cs="仿宋"/>
          <w:sz w:val="28"/>
          <w:szCs w:val="28"/>
        </w:rPr>
        <w:t>办理</w:t>
      </w:r>
      <w:r>
        <w:rPr>
          <w:rFonts w:hint="eastAsia" w:ascii="仿宋" w:hAnsi="仿宋" w:eastAsia="仿宋" w:cs="仿宋"/>
          <w:sz w:val="28"/>
          <w:szCs w:val="28"/>
          <w:lang w:val="en-US" w:eastAsia="zh-CN"/>
        </w:rPr>
        <w:t>公务卡</w:t>
      </w:r>
      <w:r>
        <w:rPr>
          <w:rFonts w:hint="eastAsia" w:ascii="仿宋" w:hAnsi="仿宋" w:eastAsia="仿宋" w:cs="仿宋"/>
          <w:sz w:val="28"/>
          <w:szCs w:val="28"/>
        </w:rPr>
        <w:t>。</w:t>
      </w:r>
    </w:p>
    <w:p>
      <w:pPr>
        <w:pStyle w:val="3"/>
        <w:bidi w:val="0"/>
        <w:rPr>
          <w:rFonts w:hint="eastAsia" w:ascii="仿宋" w:hAnsi="仿宋" w:eastAsia="仿宋" w:cs="仿宋"/>
        </w:rPr>
      </w:pPr>
      <w:bookmarkStart w:id="229" w:name="_Toc31763"/>
      <w:bookmarkStart w:id="230" w:name="_Toc16584"/>
      <w:bookmarkStart w:id="231" w:name="_Toc13273"/>
      <w:bookmarkStart w:id="232" w:name="_Toc2191"/>
      <w:r>
        <w:rPr>
          <w:rFonts w:hint="eastAsia" w:ascii="仿宋" w:hAnsi="仿宋" w:eastAsia="仿宋" w:cs="仿宋"/>
        </w:rPr>
        <w:t>公务卡</w:t>
      </w:r>
      <w:r>
        <w:rPr>
          <w:rFonts w:hint="eastAsia" w:ascii="仿宋" w:hAnsi="仿宋" w:eastAsia="仿宋" w:cs="仿宋"/>
          <w:lang w:val="en-US" w:eastAsia="zh-CN"/>
        </w:rPr>
        <w:t>申领</w:t>
      </w:r>
      <w:r>
        <w:rPr>
          <w:rFonts w:hint="eastAsia" w:ascii="仿宋" w:hAnsi="仿宋" w:eastAsia="仿宋" w:cs="仿宋"/>
        </w:rPr>
        <w:t>流程</w:t>
      </w:r>
      <w:bookmarkEnd w:id="229"/>
      <w:bookmarkEnd w:id="230"/>
      <w:bookmarkEnd w:id="231"/>
      <w:bookmarkEnd w:id="232"/>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办卡人首先持身份证原件到财务处（东校区办公楼B110财务报销大厅西头资金结算科）领取公务卡办卡证明，然后持办卡证明、身份证原件到建行聊城东昌府支行（利民西路聊城市剧院东100米路北）办理公务卡。</w:t>
      </w:r>
    </w:p>
    <w:p>
      <w:pPr>
        <w:pStyle w:val="3"/>
        <w:bidi w:val="0"/>
        <w:rPr>
          <w:rFonts w:hint="eastAsia" w:ascii="仿宋" w:hAnsi="仿宋" w:eastAsia="仿宋" w:cs="仿宋"/>
          <w:lang w:val="en-US" w:eastAsia="zh-CN"/>
        </w:rPr>
      </w:pPr>
      <w:bookmarkStart w:id="233" w:name="_Toc2567"/>
      <w:bookmarkStart w:id="234" w:name="_Toc31487"/>
      <w:bookmarkStart w:id="235" w:name="_Toc6186"/>
      <w:bookmarkStart w:id="236" w:name="_Toc11500"/>
      <w:r>
        <w:rPr>
          <w:rFonts w:hint="eastAsia" w:ascii="仿宋" w:hAnsi="仿宋" w:eastAsia="仿宋" w:cs="仿宋"/>
        </w:rPr>
        <w:t>公务卡号报送</w:t>
      </w:r>
      <w:r>
        <w:rPr>
          <w:rFonts w:hint="eastAsia" w:ascii="仿宋" w:hAnsi="仿宋" w:eastAsia="仿宋" w:cs="仿宋"/>
          <w:lang w:val="en-US" w:eastAsia="zh-CN"/>
        </w:rPr>
        <w:t>方式</w:t>
      </w:r>
      <w:bookmarkEnd w:id="233"/>
      <w:bookmarkEnd w:id="234"/>
      <w:bookmarkEnd w:id="235"/>
      <w:bookmarkEnd w:id="236"/>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本人收到银行寄送的公务卡后，登录“数字聊大”→应用中心→财务综合平台→卡号维护”，在“公务卡号【银行卡2】”→“新账号”后输入个人的公务卡号，点击“保存新账号”即可。</w:t>
      </w:r>
    </w:p>
    <w:p>
      <w:pPr>
        <w:pStyle w:val="22"/>
        <w:ind w:firstLine="480" w:firstLineChars="200"/>
        <w:rPr>
          <w:rFonts w:hint="eastAsia" w:ascii="仿宋" w:hAnsi="仿宋" w:eastAsia="仿宋" w:cs="仿宋"/>
          <w:i w:val="0"/>
          <w:iCs w:val="0"/>
          <w:sz w:val="28"/>
          <w:szCs w:val="28"/>
        </w:rPr>
      </w:pPr>
      <w:r>
        <w:rPr>
          <w:rFonts w:hint="eastAsia" w:ascii="仿宋" w:hAnsi="仿宋" w:eastAsia="仿宋" w:cs="仿宋"/>
          <w:i w:val="0"/>
          <w:iCs w:val="0"/>
          <w:color w:val="auto"/>
          <w:kern w:val="2"/>
          <w:sz w:val="24"/>
          <w:szCs w:val="24"/>
          <w:lang w:val="en-US" w:eastAsia="zh-CN" w:bidi="ar-SA"/>
        </w:rPr>
        <w:t>温馨提示：“聊大财务”微信公众号→通知公告→公务卡办理  可详细查看公务卡相关说明。公务卡事项咨询电话：8239107。</w:t>
      </w:r>
    </w:p>
    <w:p>
      <w:pPr>
        <w:pStyle w:val="2"/>
        <w:bidi w:val="0"/>
        <w:rPr>
          <w:rFonts w:hint="eastAsia" w:ascii="仿宋" w:hAnsi="仿宋" w:eastAsia="仿宋" w:cs="仿宋"/>
          <w:sz w:val="28"/>
          <w:szCs w:val="28"/>
        </w:rPr>
      </w:pPr>
      <w:bookmarkStart w:id="237" w:name="_Toc15817"/>
      <w:bookmarkStart w:id="238" w:name="_Toc18212"/>
      <w:bookmarkStart w:id="239" w:name="_Toc11459"/>
      <w:bookmarkStart w:id="240" w:name="_Toc14801"/>
      <w:r>
        <w:rPr>
          <w:rFonts w:hint="eastAsia" w:ascii="仿宋" w:hAnsi="仿宋" w:eastAsia="仿宋" w:cs="仿宋"/>
        </w:rPr>
        <w:t>工资</w:t>
      </w:r>
      <w:r>
        <w:rPr>
          <w:rFonts w:hint="eastAsia" w:ascii="仿宋" w:hAnsi="仿宋" w:eastAsia="仿宋" w:cs="仿宋"/>
          <w:lang w:val="en-US" w:eastAsia="zh-CN"/>
        </w:rPr>
        <w:t>服务指南</w:t>
      </w:r>
      <w:bookmarkEnd w:id="237"/>
      <w:bookmarkEnd w:id="238"/>
      <w:bookmarkEnd w:id="239"/>
      <w:bookmarkEnd w:id="240"/>
    </w:p>
    <w:p>
      <w:pPr>
        <w:pStyle w:val="3"/>
        <w:bidi w:val="0"/>
        <w:rPr>
          <w:rFonts w:hint="eastAsia" w:ascii="仿宋" w:hAnsi="仿宋" w:eastAsia="仿宋" w:cs="仿宋"/>
        </w:rPr>
      </w:pPr>
      <w:bookmarkStart w:id="241" w:name="_Toc21281"/>
      <w:bookmarkStart w:id="242" w:name="_Toc15465"/>
      <w:bookmarkStart w:id="243" w:name="_Toc29584"/>
      <w:bookmarkStart w:id="244" w:name="_Toc29549"/>
      <w:r>
        <w:rPr>
          <w:rFonts w:hint="eastAsia" w:ascii="仿宋" w:hAnsi="仿宋" w:eastAsia="仿宋" w:cs="仿宋"/>
        </w:rPr>
        <w:t>工资查询</w:t>
      </w:r>
      <w:bookmarkEnd w:id="241"/>
      <w:bookmarkEnd w:id="242"/>
      <w:bookmarkEnd w:id="243"/>
      <w:bookmarkEnd w:id="244"/>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只能使用校园网络，非校园网络需先通过“聊大VPN”登录（VPN登录咨询：0635-8238653）进入校园网络。查询方式：一是财务处网站→财务平台-&gt;用友财务平台；二是访问“聊大财务”微信公众号→业务查询-&gt;工资查询。登录界面默认为“教师登录”页面，第一栏日期不需改动，第二栏请选择 "140018001 聊城大学"，第三栏输入个人身份证号码或工号，第四栏输入密码，初始密码为“123”，第五栏输入验证码。</w:t>
      </w:r>
    </w:p>
    <w:p>
      <w:pPr>
        <w:pStyle w:val="22"/>
        <w:ind w:firstLine="480" w:firstLineChars="200"/>
        <w:rPr>
          <w:rFonts w:hint="eastAsia" w:ascii="仿宋" w:hAnsi="仿宋" w:eastAsia="仿宋" w:cs="仿宋"/>
          <w:sz w:val="28"/>
          <w:szCs w:val="28"/>
        </w:rPr>
      </w:pPr>
      <w:r>
        <w:rPr>
          <w:rFonts w:hint="eastAsia" w:ascii="仿宋" w:hAnsi="仿宋" w:eastAsia="仿宋" w:cs="仿宋"/>
          <w:i w:val="0"/>
          <w:iCs w:val="0"/>
          <w:color w:val="auto"/>
          <w:kern w:val="2"/>
          <w:sz w:val="24"/>
          <w:szCs w:val="24"/>
          <w:lang w:val="en-US" w:eastAsia="zh-CN" w:bidi="ar-SA"/>
        </w:rPr>
        <w:t>温馨提示：360浏览器请选择极速模式</w:t>
      </w:r>
    </w:p>
    <w:p>
      <w:pPr>
        <w:pStyle w:val="22"/>
        <w:ind w:firstLine="560" w:firstLineChars="200"/>
        <w:rPr>
          <w:rFonts w:hint="eastAsia" w:ascii="仿宋" w:hAnsi="仿宋" w:eastAsia="仿宋" w:cs="仿宋"/>
          <w:sz w:val="28"/>
          <w:szCs w:val="28"/>
        </w:rPr>
      </w:pPr>
    </w:p>
    <w:p>
      <w:pPr>
        <w:pStyle w:val="22"/>
        <w:ind w:firstLine="562" w:firstLineChars="200"/>
        <w:rPr>
          <w:rFonts w:hint="eastAsia" w:ascii="仿宋" w:hAnsi="仿宋" w:eastAsia="仿宋" w:cs="仿宋"/>
          <w:b/>
          <w:bCs/>
        </w:rPr>
      </w:pPr>
      <w:r>
        <w:rPr>
          <w:rFonts w:hint="eastAsia" w:ascii="仿宋" w:hAnsi="仿宋" w:eastAsia="仿宋" w:cs="仿宋"/>
          <w:b/>
          <w:bCs/>
          <w:sz w:val="28"/>
          <w:szCs w:val="28"/>
        </w:rPr>
        <w:t>工资相关问题咨询电话：</w:t>
      </w:r>
    </w:p>
    <w:p>
      <w:pPr>
        <w:pStyle w:val="22"/>
        <w:ind w:firstLine="562" w:firstLineChars="200"/>
        <w:rPr>
          <w:rFonts w:hint="eastAsia" w:ascii="仿宋" w:hAnsi="仿宋" w:eastAsia="仿宋" w:cs="仿宋"/>
          <w:sz w:val="28"/>
          <w:szCs w:val="28"/>
        </w:rPr>
      </w:pPr>
      <w:r>
        <w:rPr>
          <w:rFonts w:hint="eastAsia" w:ascii="仿宋" w:hAnsi="仿宋" w:eastAsia="仿宋" w:cs="仿宋"/>
          <w:b/>
          <w:bCs/>
          <w:color w:val="auto"/>
          <w:kern w:val="2"/>
          <w:sz w:val="28"/>
          <w:szCs w:val="28"/>
          <w:lang w:val="en-US" w:eastAsia="zh-CN" w:bidi="ar-SA"/>
        </w:rPr>
        <w:t>水电费：</w:t>
      </w:r>
      <w:r>
        <w:rPr>
          <w:rFonts w:hint="eastAsia" w:ascii="仿宋" w:hAnsi="仿宋" w:eastAsia="仿宋" w:cs="仿宋"/>
          <w:color w:val="auto"/>
          <w:kern w:val="2"/>
          <w:sz w:val="28"/>
          <w:szCs w:val="28"/>
          <w:lang w:val="en-US" w:eastAsia="zh-CN" w:bidi="ar-SA"/>
        </w:rPr>
        <w:t>西校区8238440；聊大花园8238711；青年教师公寓、北苑小区、馨民公寓、东校家属区8239953</w:t>
      </w:r>
      <w:r>
        <w:rPr>
          <w:rFonts w:hint="eastAsia" w:ascii="仿宋" w:hAnsi="仿宋" w:eastAsia="仿宋" w:cs="仿宋"/>
          <w:color w:val="auto"/>
          <w:kern w:val="2"/>
          <w:sz w:val="28"/>
          <w:szCs w:val="28"/>
          <w:lang w:val="en-US" w:eastAsia="zh-CN" w:bidi="ar-SA"/>
        </w:rPr>
        <w:br w:type="textWrapping"/>
      </w:r>
      <w:r>
        <w:rPr>
          <w:rFonts w:hint="eastAsia" w:ascii="仿宋" w:hAnsi="仿宋" w:eastAsia="仿宋" w:cs="仿宋"/>
          <w:color w:val="auto"/>
          <w:kern w:val="2"/>
          <w:sz w:val="28"/>
          <w:szCs w:val="28"/>
          <w:lang w:val="en-US" w:eastAsia="zh-CN" w:bidi="ar-SA"/>
        </w:rPr>
        <w:t xml:space="preserve">    </w:t>
      </w:r>
      <w:r>
        <w:rPr>
          <w:rFonts w:hint="eastAsia" w:ascii="仿宋" w:hAnsi="仿宋" w:eastAsia="仿宋" w:cs="仿宋"/>
          <w:b/>
          <w:bCs/>
          <w:color w:val="auto"/>
          <w:kern w:val="2"/>
          <w:sz w:val="28"/>
          <w:szCs w:val="28"/>
          <w:lang w:val="en-US" w:eastAsia="zh-CN" w:bidi="ar-SA"/>
        </w:rPr>
        <w:t>物业费、垃圾处理费、楼道电费：</w:t>
      </w:r>
      <w:r>
        <w:rPr>
          <w:rFonts w:hint="eastAsia" w:ascii="仿宋" w:hAnsi="仿宋" w:eastAsia="仿宋" w:cs="仿宋"/>
          <w:color w:val="auto"/>
          <w:kern w:val="2"/>
          <w:sz w:val="28"/>
          <w:szCs w:val="28"/>
          <w:lang w:val="en-US" w:eastAsia="zh-CN" w:bidi="ar-SA"/>
        </w:rPr>
        <w:t>物业管理中心 8238186</w:t>
      </w:r>
      <w:r>
        <w:rPr>
          <w:rFonts w:hint="eastAsia" w:ascii="仿宋" w:hAnsi="仿宋" w:eastAsia="仿宋" w:cs="仿宋"/>
          <w:color w:val="auto"/>
          <w:kern w:val="2"/>
          <w:sz w:val="28"/>
          <w:szCs w:val="28"/>
          <w:lang w:val="en-US" w:eastAsia="zh-CN" w:bidi="ar-SA"/>
        </w:rPr>
        <w:br w:type="textWrapping"/>
      </w:r>
      <w:r>
        <w:rPr>
          <w:rFonts w:hint="eastAsia" w:ascii="仿宋" w:hAnsi="仿宋" w:eastAsia="仿宋" w:cs="仿宋"/>
          <w:color w:val="auto"/>
          <w:kern w:val="2"/>
          <w:sz w:val="28"/>
          <w:szCs w:val="28"/>
          <w:lang w:val="en-US" w:eastAsia="zh-CN" w:bidi="ar-SA"/>
        </w:rPr>
        <w:t xml:space="preserve">   </w:t>
      </w:r>
      <w:r>
        <w:rPr>
          <w:rFonts w:hint="eastAsia" w:ascii="仿宋" w:hAnsi="仿宋" w:eastAsia="仿宋" w:cs="仿宋"/>
          <w:b/>
          <w:bCs/>
          <w:color w:val="auto"/>
          <w:kern w:val="2"/>
          <w:sz w:val="28"/>
          <w:szCs w:val="28"/>
          <w:lang w:val="en-US" w:eastAsia="zh-CN" w:bidi="ar-SA"/>
        </w:rPr>
        <w:t xml:space="preserve"> 电话费：</w:t>
      </w:r>
      <w:r>
        <w:rPr>
          <w:rFonts w:hint="eastAsia" w:ascii="仿宋" w:hAnsi="仿宋" w:eastAsia="仿宋" w:cs="仿宋"/>
          <w:color w:val="auto"/>
          <w:kern w:val="2"/>
          <w:sz w:val="28"/>
          <w:szCs w:val="28"/>
          <w:lang w:val="en-US" w:eastAsia="zh-CN" w:bidi="ar-SA"/>
        </w:rPr>
        <w:t>实验与网络信息中心 8238112</w:t>
      </w:r>
      <w:r>
        <w:rPr>
          <w:rFonts w:hint="eastAsia" w:ascii="仿宋" w:hAnsi="仿宋" w:eastAsia="仿宋" w:cs="仿宋"/>
          <w:color w:val="auto"/>
          <w:kern w:val="2"/>
          <w:sz w:val="28"/>
          <w:szCs w:val="28"/>
          <w:lang w:val="en-US" w:eastAsia="zh-CN" w:bidi="ar-SA"/>
        </w:rPr>
        <w:br w:type="textWrapping"/>
      </w:r>
      <w:r>
        <w:rPr>
          <w:rFonts w:hint="eastAsia" w:ascii="仿宋" w:hAnsi="仿宋" w:eastAsia="仿宋" w:cs="仿宋"/>
          <w:color w:val="auto"/>
          <w:kern w:val="2"/>
          <w:sz w:val="28"/>
          <w:szCs w:val="28"/>
          <w:lang w:val="en-US" w:eastAsia="zh-CN" w:bidi="ar-SA"/>
        </w:rPr>
        <w:t xml:space="preserve">    </w:t>
      </w:r>
      <w:r>
        <w:rPr>
          <w:rFonts w:hint="eastAsia" w:ascii="仿宋" w:hAnsi="仿宋" w:eastAsia="仿宋" w:cs="仿宋"/>
          <w:b/>
          <w:bCs/>
          <w:color w:val="auto"/>
          <w:kern w:val="2"/>
          <w:sz w:val="28"/>
          <w:szCs w:val="28"/>
          <w:lang w:val="en-US" w:eastAsia="zh-CN" w:bidi="ar-SA"/>
        </w:rPr>
        <w:t>网络费：</w:t>
      </w:r>
      <w:r>
        <w:rPr>
          <w:rFonts w:hint="eastAsia" w:ascii="仿宋" w:hAnsi="仿宋" w:eastAsia="仿宋" w:cs="仿宋"/>
          <w:color w:val="auto"/>
          <w:kern w:val="2"/>
          <w:sz w:val="28"/>
          <w:szCs w:val="28"/>
          <w:lang w:val="en-US" w:eastAsia="zh-CN" w:bidi="ar-SA"/>
        </w:rPr>
        <w:t>群星公寓8238299、其他网络费8238112</w:t>
      </w:r>
      <w:r>
        <w:rPr>
          <w:rFonts w:hint="eastAsia" w:ascii="仿宋" w:hAnsi="仿宋" w:eastAsia="仿宋" w:cs="仿宋"/>
          <w:color w:val="auto"/>
          <w:kern w:val="2"/>
          <w:sz w:val="28"/>
          <w:szCs w:val="28"/>
          <w:lang w:val="en-US" w:eastAsia="zh-CN" w:bidi="ar-SA"/>
        </w:rPr>
        <w:br w:type="textWrapping"/>
      </w:r>
      <w:r>
        <w:rPr>
          <w:rFonts w:hint="eastAsia" w:ascii="仿宋" w:hAnsi="仿宋" w:eastAsia="仿宋" w:cs="仿宋"/>
          <w:color w:val="auto"/>
          <w:kern w:val="2"/>
          <w:sz w:val="28"/>
          <w:szCs w:val="28"/>
          <w:lang w:val="en-US" w:eastAsia="zh-CN" w:bidi="ar-SA"/>
        </w:rPr>
        <w:t xml:space="preserve">    </w:t>
      </w:r>
      <w:r>
        <w:rPr>
          <w:rFonts w:hint="eastAsia" w:ascii="仿宋" w:hAnsi="仿宋" w:eastAsia="仿宋" w:cs="仿宋"/>
          <w:b/>
          <w:bCs/>
          <w:color w:val="auto"/>
          <w:kern w:val="2"/>
          <w:sz w:val="28"/>
          <w:szCs w:val="28"/>
          <w:lang w:val="en-US" w:eastAsia="zh-CN" w:bidi="ar-SA"/>
        </w:rPr>
        <w:t>电视信号费：</w:t>
      </w:r>
      <w:r>
        <w:rPr>
          <w:rFonts w:hint="eastAsia" w:ascii="仿宋" w:hAnsi="仿宋" w:eastAsia="仿宋" w:cs="仿宋"/>
          <w:color w:val="auto"/>
          <w:kern w:val="2"/>
          <w:sz w:val="28"/>
          <w:szCs w:val="28"/>
          <w:lang w:val="en-US" w:eastAsia="zh-CN" w:bidi="ar-SA"/>
        </w:rPr>
        <w:t>高新技术产业总公司 8238896</w:t>
      </w:r>
      <w:r>
        <w:rPr>
          <w:rFonts w:hint="eastAsia" w:ascii="仿宋" w:hAnsi="仿宋" w:eastAsia="仿宋" w:cs="仿宋"/>
          <w:color w:val="auto"/>
          <w:kern w:val="2"/>
          <w:sz w:val="28"/>
          <w:szCs w:val="28"/>
          <w:lang w:val="en-US" w:eastAsia="zh-CN" w:bidi="ar-SA"/>
        </w:rPr>
        <w:br w:type="textWrapping"/>
      </w:r>
      <w:r>
        <w:rPr>
          <w:rFonts w:hint="eastAsia" w:ascii="仿宋" w:hAnsi="仿宋" w:eastAsia="仿宋" w:cs="仿宋"/>
          <w:color w:val="auto"/>
          <w:kern w:val="2"/>
          <w:sz w:val="28"/>
          <w:szCs w:val="28"/>
          <w:lang w:val="en-US" w:eastAsia="zh-CN" w:bidi="ar-SA"/>
        </w:rPr>
        <w:t xml:space="preserve">   </w:t>
      </w:r>
      <w:r>
        <w:rPr>
          <w:rFonts w:hint="eastAsia" w:ascii="仿宋" w:hAnsi="仿宋" w:eastAsia="仿宋" w:cs="仿宋"/>
          <w:b/>
          <w:bCs/>
          <w:color w:val="auto"/>
          <w:kern w:val="2"/>
          <w:sz w:val="28"/>
          <w:szCs w:val="28"/>
          <w:lang w:val="en-US" w:eastAsia="zh-CN" w:bidi="ar-SA"/>
        </w:rPr>
        <w:t xml:space="preserve"> 取暖费：</w:t>
      </w:r>
      <w:r>
        <w:rPr>
          <w:rFonts w:hint="eastAsia" w:ascii="仿宋" w:hAnsi="仿宋" w:eastAsia="仿宋" w:cs="仿宋"/>
          <w:color w:val="auto"/>
          <w:kern w:val="2"/>
          <w:sz w:val="28"/>
          <w:szCs w:val="28"/>
          <w:lang w:val="en-US" w:eastAsia="zh-CN" w:bidi="ar-SA"/>
        </w:rPr>
        <w:t>西校8238011、青年教师公寓、东校区家属院、馨民公寓，东校家属区8238186</w:t>
      </w:r>
      <w:r>
        <w:rPr>
          <w:rFonts w:hint="eastAsia" w:ascii="仿宋" w:hAnsi="仿宋" w:eastAsia="仿宋" w:cs="仿宋"/>
          <w:color w:val="auto"/>
          <w:kern w:val="2"/>
          <w:sz w:val="28"/>
          <w:szCs w:val="28"/>
          <w:lang w:val="en-US" w:eastAsia="zh-CN" w:bidi="ar-SA"/>
        </w:rPr>
        <w:br w:type="textWrapping"/>
      </w:r>
      <w:r>
        <w:rPr>
          <w:rFonts w:hint="eastAsia" w:ascii="仿宋" w:hAnsi="仿宋" w:eastAsia="仿宋" w:cs="仿宋"/>
          <w:color w:val="auto"/>
          <w:kern w:val="2"/>
          <w:sz w:val="28"/>
          <w:szCs w:val="28"/>
          <w:lang w:val="en-US" w:eastAsia="zh-CN" w:bidi="ar-SA"/>
        </w:rPr>
        <w:t xml:space="preserve">   </w:t>
      </w:r>
      <w:r>
        <w:rPr>
          <w:rFonts w:hint="eastAsia" w:ascii="仿宋" w:hAnsi="仿宋" w:eastAsia="仿宋" w:cs="仿宋"/>
          <w:b/>
          <w:bCs/>
          <w:color w:val="auto"/>
          <w:kern w:val="2"/>
          <w:sz w:val="28"/>
          <w:szCs w:val="28"/>
          <w:lang w:val="en-US" w:eastAsia="zh-CN" w:bidi="ar-SA"/>
        </w:rPr>
        <w:t xml:space="preserve"> 工资调整：</w:t>
      </w:r>
      <w:r>
        <w:rPr>
          <w:rFonts w:hint="eastAsia" w:ascii="仿宋" w:hAnsi="仿宋" w:eastAsia="仿宋" w:cs="仿宋"/>
          <w:color w:val="auto"/>
          <w:kern w:val="2"/>
          <w:sz w:val="28"/>
          <w:szCs w:val="28"/>
          <w:lang w:val="en-US" w:eastAsia="zh-CN" w:bidi="ar-SA"/>
        </w:rPr>
        <w:t>人力资源处8239056；</w:t>
      </w:r>
      <w:r>
        <w:rPr>
          <w:rFonts w:hint="eastAsia" w:ascii="仿宋" w:hAnsi="仿宋" w:eastAsia="仿宋" w:cs="仿宋"/>
          <w:b/>
          <w:bCs/>
          <w:color w:val="auto"/>
          <w:kern w:val="2"/>
          <w:sz w:val="28"/>
          <w:szCs w:val="28"/>
          <w:lang w:val="en-US" w:eastAsia="zh-CN" w:bidi="ar-SA"/>
        </w:rPr>
        <w:t>养老保险相关：</w:t>
      </w:r>
      <w:r>
        <w:rPr>
          <w:rFonts w:hint="eastAsia" w:ascii="仿宋" w:hAnsi="仿宋" w:eastAsia="仿宋" w:cs="仿宋"/>
          <w:color w:val="auto"/>
          <w:kern w:val="2"/>
          <w:sz w:val="28"/>
          <w:szCs w:val="28"/>
          <w:lang w:val="en-US" w:eastAsia="zh-CN" w:bidi="ar-SA"/>
        </w:rPr>
        <w:t>人力资源处8239667；</w:t>
      </w:r>
      <w:r>
        <w:rPr>
          <w:rFonts w:hint="eastAsia" w:ascii="仿宋" w:hAnsi="仿宋" w:eastAsia="仿宋" w:cs="仿宋"/>
          <w:b/>
          <w:bCs/>
          <w:color w:val="auto"/>
          <w:kern w:val="2"/>
          <w:sz w:val="28"/>
          <w:szCs w:val="28"/>
          <w:lang w:val="en-US" w:eastAsia="zh-CN" w:bidi="ar-SA"/>
        </w:rPr>
        <w:t>医疗保险相关：</w:t>
      </w:r>
      <w:r>
        <w:rPr>
          <w:rFonts w:hint="eastAsia" w:ascii="仿宋" w:hAnsi="仿宋" w:eastAsia="仿宋" w:cs="仿宋"/>
          <w:color w:val="auto"/>
          <w:kern w:val="2"/>
          <w:sz w:val="28"/>
          <w:szCs w:val="28"/>
          <w:lang w:val="en-US" w:eastAsia="zh-CN" w:bidi="ar-SA"/>
        </w:rPr>
        <w:t>校医院8239127</w:t>
      </w:r>
      <w:r>
        <w:rPr>
          <w:rFonts w:hint="eastAsia" w:ascii="仿宋" w:hAnsi="仿宋" w:eastAsia="仿宋" w:cs="仿宋"/>
          <w:color w:val="auto"/>
          <w:kern w:val="2"/>
          <w:sz w:val="28"/>
          <w:szCs w:val="28"/>
          <w:lang w:val="en-US" w:eastAsia="zh-CN" w:bidi="ar-SA"/>
        </w:rPr>
        <w:br w:type="textWrapping"/>
      </w:r>
      <w:r>
        <w:rPr>
          <w:rFonts w:hint="eastAsia" w:ascii="仿宋" w:hAnsi="仿宋" w:eastAsia="仿宋" w:cs="仿宋"/>
          <w:color w:val="auto"/>
          <w:kern w:val="2"/>
          <w:sz w:val="28"/>
          <w:szCs w:val="28"/>
          <w:lang w:val="en-US" w:eastAsia="zh-CN" w:bidi="ar-SA"/>
        </w:rPr>
        <w:t xml:space="preserve">   </w:t>
      </w:r>
      <w:r>
        <w:rPr>
          <w:rFonts w:hint="eastAsia" w:ascii="仿宋" w:hAnsi="仿宋" w:eastAsia="仿宋" w:cs="仿宋"/>
          <w:b/>
          <w:bCs/>
          <w:color w:val="auto"/>
          <w:kern w:val="2"/>
          <w:sz w:val="28"/>
          <w:szCs w:val="28"/>
          <w:lang w:val="en-US" w:eastAsia="zh-CN" w:bidi="ar-SA"/>
        </w:rPr>
        <w:t xml:space="preserve"> 工资其他事宜：</w:t>
      </w:r>
      <w:r>
        <w:rPr>
          <w:rFonts w:hint="eastAsia" w:ascii="仿宋" w:hAnsi="仿宋" w:eastAsia="仿宋" w:cs="仿宋"/>
          <w:color w:val="auto"/>
          <w:kern w:val="2"/>
          <w:sz w:val="28"/>
          <w:szCs w:val="28"/>
          <w:lang w:val="en-US" w:eastAsia="zh-CN" w:bidi="ar-SA"/>
        </w:rPr>
        <w:t>财务处8239554</w:t>
      </w:r>
    </w:p>
    <w:p>
      <w:pPr>
        <w:pStyle w:val="3"/>
        <w:bidi w:val="0"/>
        <w:rPr>
          <w:rFonts w:hint="eastAsia" w:ascii="仿宋" w:hAnsi="仿宋" w:eastAsia="仿宋" w:cs="仿宋"/>
        </w:rPr>
      </w:pPr>
      <w:bookmarkStart w:id="245" w:name="_Toc17224"/>
      <w:bookmarkStart w:id="246" w:name="_Toc26115"/>
      <w:bookmarkStart w:id="247" w:name="_Toc15467"/>
      <w:bookmarkStart w:id="248" w:name="_Toc8484"/>
      <w:r>
        <w:rPr>
          <w:rFonts w:hint="eastAsia" w:ascii="仿宋" w:hAnsi="仿宋" w:eastAsia="仿宋" w:cs="仿宋"/>
        </w:rPr>
        <w:t>个税专项附加扣除信息申报</w:t>
      </w:r>
      <w:bookmarkEnd w:id="245"/>
      <w:bookmarkEnd w:id="246"/>
      <w:bookmarkEnd w:id="247"/>
      <w:bookmarkEnd w:id="248"/>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个人通过“个人所得税APP”填报：子女教育、继续教育、住房贷款利息、住房租金、赡养老人、大病医疗，除大病医疗不能在学校工资中专项扣除外，其他五项如果在填报“申报方式”时选择“扣缴义务人代为申报—聊城大学”，则每月工资发放时可实现个税抵扣。如当年度未能在工资中实现抵扣，可在次年3月至6月期间本人通过“个人所得税APP”进行汇算清缴。</w:t>
      </w:r>
    </w:p>
    <w:p>
      <w:pPr>
        <w:pStyle w:val="3"/>
        <w:bidi w:val="0"/>
        <w:rPr>
          <w:rFonts w:hint="eastAsia" w:ascii="仿宋" w:hAnsi="仿宋" w:eastAsia="仿宋" w:cs="仿宋"/>
          <w:lang w:val="en-US" w:eastAsia="zh-CN"/>
        </w:rPr>
      </w:pPr>
      <w:bookmarkStart w:id="249" w:name="_Toc27442"/>
      <w:bookmarkStart w:id="250" w:name="_Toc16701"/>
      <w:bookmarkStart w:id="251" w:name="_Toc5222"/>
      <w:bookmarkStart w:id="252" w:name="_Toc988"/>
      <w:r>
        <w:rPr>
          <w:rFonts w:hint="eastAsia" w:ascii="仿宋" w:hAnsi="仿宋" w:eastAsia="仿宋" w:cs="仿宋"/>
          <w:lang w:val="en-US" w:eastAsia="zh-CN"/>
        </w:rPr>
        <w:t>个人所得税年度汇算清缴</w:t>
      </w:r>
      <w:bookmarkEnd w:id="249"/>
      <w:bookmarkEnd w:id="250"/>
      <w:bookmarkEnd w:id="251"/>
      <w:bookmarkEnd w:id="252"/>
    </w:p>
    <w:p>
      <w:pPr>
        <w:pStyle w:val="22"/>
        <w:numPr>
          <w:ilvl w:val="0"/>
          <w:numId w:val="0"/>
        </w:numPr>
        <w:ind w:leftChars="0"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根据个人所得税法相关规定，纳税人</w:t>
      </w:r>
      <w:r>
        <w:rPr>
          <w:rFonts w:hint="eastAsia" w:ascii="仿宋" w:hAnsi="仿宋" w:eastAsia="仿宋" w:cs="仿宋"/>
          <w:b/>
          <w:bCs/>
          <w:sz w:val="28"/>
          <w:szCs w:val="28"/>
          <w:lang w:val="en-US" w:eastAsia="zh-CN"/>
        </w:rPr>
        <w:t>需在纳税年度次年3月1日至6月30日办理纳税年度个税综合所得汇算清缴工作，</w:t>
      </w:r>
      <w:r>
        <w:rPr>
          <w:rFonts w:hint="eastAsia" w:ascii="仿宋" w:hAnsi="仿宋" w:eastAsia="仿宋" w:cs="仿宋"/>
          <w:sz w:val="28"/>
          <w:szCs w:val="28"/>
          <w:lang w:val="en-US" w:eastAsia="zh-CN"/>
        </w:rPr>
        <w:t>汇算清缴内容包括个人取得的工资薪金、劳务报酬、稿酬、特许权使用费等四项所得收入额。</w:t>
      </w:r>
    </w:p>
    <w:p>
      <w:pPr>
        <w:pStyle w:val="22"/>
        <w:numPr>
          <w:ilvl w:val="0"/>
          <w:numId w:val="0"/>
        </w:numPr>
        <w:ind w:leftChars="0"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纳税人在纳税年度已依法预缴个人所得税且符合下列情形之一的，</w:t>
      </w:r>
      <w:r>
        <w:rPr>
          <w:rFonts w:hint="eastAsia" w:ascii="仿宋" w:hAnsi="仿宋" w:eastAsia="仿宋" w:cs="仿宋"/>
          <w:b/>
          <w:bCs/>
          <w:sz w:val="28"/>
          <w:szCs w:val="28"/>
          <w:lang w:val="en-US" w:eastAsia="zh-CN"/>
        </w:rPr>
        <w:t>无需办理年度汇算：</w:t>
      </w:r>
      <w:r>
        <w:rPr>
          <w:rFonts w:hint="eastAsia" w:ascii="仿宋" w:hAnsi="仿宋" w:eastAsia="仿宋" w:cs="仿宋"/>
          <w:sz w:val="28"/>
          <w:szCs w:val="28"/>
          <w:lang w:val="en-US" w:eastAsia="zh-CN"/>
        </w:rPr>
        <w:t>（1）年度汇算需补税但综合所得收入全年不超过12万元的；（2）年度汇算需补税金额不超过400元的；（3）已预缴税额与年度应纳税额一致或者不申请退税的。</w:t>
      </w:r>
    </w:p>
    <w:p>
      <w:pPr>
        <w:pStyle w:val="22"/>
        <w:numPr>
          <w:ilvl w:val="0"/>
          <w:numId w:val="0"/>
        </w:numPr>
        <w:ind w:leftChars="0"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依据税法规定，符合下列情形之一的，纳税人</w:t>
      </w:r>
      <w:r>
        <w:rPr>
          <w:rFonts w:hint="eastAsia" w:ascii="仿宋" w:hAnsi="仿宋" w:eastAsia="仿宋" w:cs="仿宋"/>
          <w:b/>
          <w:bCs/>
          <w:sz w:val="28"/>
          <w:szCs w:val="28"/>
          <w:lang w:val="en-US" w:eastAsia="zh-CN"/>
        </w:rPr>
        <w:t>需要办理年度汇算</w:t>
      </w:r>
      <w:r>
        <w:rPr>
          <w:rFonts w:hint="eastAsia" w:ascii="仿宋" w:hAnsi="仿宋" w:eastAsia="仿宋" w:cs="仿宋"/>
          <w:sz w:val="28"/>
          <w:szCs w:val="28"/>
          <w:lang w:val="en-US" w:eastAsia="zh-CN"/>
        </w:rPr>
        <w:t>：（1）已预缴税额大于年度应纳税额且申请退税的；（2）综合所得收入全年超过12万元且需要补税金额超过400元的。</w:t>
      </w:r>
    </w:p>
    <w:p>
      <w:pPr>
        <w:pStyle w:val="22"/>
        <w:numPr>
          <w:ilvl w:val="0"/>
          <w:numId w:val="0"/>
        </w:numPr>
        <w:ind w:leftChars="0"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纳税年度发生的，且未申报扣除或未足额扣除的税前扣除项目，纳税人可在年度汇算期间办理扣除或补充扣除的支出项目：（1）纳税人及其配偶、未成年子女符合条件的大病医疗支出；（2）纳税人符合条件的子女教育、继续教育、住房贷款利息或住房租金、赡养老人专项附加扣除，以及减除费用、专项扣除、依法确定的其他扣除；（3）纳税人符合条件的捐赠支出。</w:t>
      </w:r>
    </w:p>
    <w:p>
      <w:pPr>
        <w:pStyle w:val="22"/>
        <w:numPr>
          <w:ilvl w:val="0"/>
          <w:numId w:val="0"/>
        </w:numPr>
        <w:ind w:leftChars="0"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个人所得税汇算清缴办理方式：纳税人通过“个人所得税APP”软件（推荐使用）或自然人电子税务局网站https://etax.chinatax.gov.cn自行办理年度汇算清缴。</w:t>
      </w:r>
    </w:p>
    <w:p>
      <w:pPr>
        <w:pStyle w:val="22"/>
        <w:numPr>
          <w:ilvl w:val="0"/>
          <w:numId w:val="0"/>
        </w:numPr>
        <w:ind w:leftChars="0" w:firstLine="560"/>
        <w:rPr>
          <w:rFonts w:hint="eastAsia" w:ascii="仿宋" w:hAnsi="仿宋" w:eastAsia="仿宋" w:cs="仿宋"/>
          <w:sz w:val="28"/>
          <w:szCs w:val="28"/>
          <w:lang w:val="en-US" w:eastAsia="zh-CN"/>
        </w:rPr>
      </w:pPr>
    </w:p>
    <w:p>
      <w:pPr>
        <w:pStyle w:val="22"/>
        <w:ind w:firstLine="480" w:firstLineChars="200"/>
        <w:rPr>
          <w:rFonts w:hint="eastAsia" w:ascii="仿宋" w:hAnsi="仿宋" w:eastAsia="仿宋" w:cs="仿宋"/>
          <w:i w:val="0"/>
          <w:iCs w:val="0"/>
          <w:sz w:val="28"/>
          <w:szCs w:val="28"/>
        </w:rPr>
      </w:pPr>
      <w:r>
        <w:rPr>
          <w:rFonts w:hint="eastAsia" w:ascii="仿宋" w:hAnsi="仿宋" w:eastAsia="仿宋" w:cs="仿宋"/>
          <w:i w:val="0"/>
          <w:iCs w:val="0"/>
          <w:color w:val="auto"/>
          <w:kern w:val="2"/>
          <w:sz w:val="24"/>
          <w:szCs w:val="24"/>
          <w:lang w:val="en-US" w:eastAsia="zh-CN" w:bidi="ar-SA"/>
        </w:rPr>
        <w:t>温馨提示：“个人所得税APP”使用及相关政策可咨询税务热线12366</w:t>
      </w:r>
    </w:p>
    <w:p>
      <w:pPr>
        <w:pStyle w:val="3"/>
        <w:bidi w:val="0"/>
        <w:rPr>
          <w:rFonts w:hint="eastAsia" w:ascii="仿宋" w:hAnsi="仿宋" w:eastAsia="仿宋" w:cs="仿宋"/>
        </w:rPr>
      </w:pPr>
      <w:bookmarkStart w:id="253" w:name="_Toc30563"/>
      <w:bookmarkStart w:id="254" w:name="_Toc26093"/>
      <w:bookmarkStart w:id="255" w:name="_Toc29374"/>
      <w:bookmarkStart w:id="256" w:name="_Toc26029"/>
      <w:r>
        <w:rPr>
          <w:rFonts w:hint="eastAsia" w:ascii="仿宋" w:hAnsi="仿宋" w:eastAsia="仿宋" w:cs="仿宋"/>
        </w:rPr>
        <w:t>工资银行卡号变更</w:t>
      </w:r>
      <w:bookmarkEnd w:id="253"/>
      <w:bookmarkEnd w:id="254"/>
      <w:bookmarkEnd w:id="255"/>
      <w:bookmarkEnd w:id="256"/>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工资银行卡号发生变化，在职职工到财务处综合管理科（东校区办公楼B113房间，电话：8239554）登记变更；退休职工除到财务处综合管理科登记变更外，还需与人力资源处（东校区B座办公楼四楼劳资科，电话8239056、8239667）联系变更在人社局发放的工资银行卡信息。</w:t>
      </w:r>
    </w:p>
    <w:p>
      <w:pPr>
        <w:pStyle w:val="3"/>
        <w:bidi w:val="0"/>
        <w:rPr>
          <w:rFonts w:hint="eastAsia" w:ascii="仿宋" w:hAnsi="仿宋" w:eastAsia="仿宋" w:cs="仿宋"/>
          <w:lang w:val="en-US" w:eastAsia="zh-CN"/>
        </w:rPr>
      </w:pPr>
      <w:bookmarkStart w:id="257" w:name="_Toc20907"/>
      <w:bookmarkStart w:id="258" w:name="_Toc19713"/>
      <w:bookmarkStart w:id="259" w:name="_Toc13075"/>
      <w:bookmarkStart w:id="260" w:name="_Toc11326"/>
      <w:r>
        <w:rPr>
          <w:rFonts w:hint="eastAsia" w:ascii="仿宋" w:hAnsi="仿宋" w:eastAsia="仿宋" w:cs="仿宋"/>
        </w:rPr>
        <w:t>住房公积金办理</w:t>
      </w:r>
      <w:r>
        <w:rPr>
          <w:rFonts w:hint="eastAsia" w:ascii="仿宋" w:hAnsi="仿宋" w:eastAsia="仿宋" w:cs="仿宋"/>
          <w:lang w:val="en-US" w:eastAsia="zh-CN"/>
        </w:rPr>
        <w:t>及贷款事宜</w:t>
      </w:r>
      <w:bookmarkEnd w:id="257"/>
      <w:bookmarkEnd w:id="258"/>
      <w:bookmarkEnd w:id="259"/>
      <w:bookmarkEnd w:id="260"/>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住房公积金相关政策</w:t>
      </w:r>
      <w:r>
        <w:rPr>
          <w:rFonts w:hint="eastAsia" w:ascii="仿宋" w:hAnsi="仿宋" w:eastAsia="仿宋" w:cs="仿宋"/>
          <w:sz w:val="28"/>
          <w:szCs w:val="28"/>
          <w:lang w:val="en-US" w:eastAsia="zh-CN"/>
        </w:rPr>
        <w:t>和贷款事宜</w:t>
      </w:r>
      <w:r>
        <w:rPr>
          <w:rFonts w:hint="eastAsia" w:ascii="仿宋" w:hAnsi="仿宋" w:eastAsia="仿宋" w:cs="仿宋"/>
          <w:sz w:val="28"/>
          <w:szCs w:val="28"/>
        </w:rPr>
        <w:t>请咨询聊城市住房公积金管理中心热线电话12329</w:t>
      </w:r>
      <w:r>
        <w:rPr>
          <w:rFonts w:hint="eastAsia" w:ascii="仿宋" w:hAnsi="仿宋" w:eastAsia="仿宋" w:cs="仿宋"/>
          <w:sz w:val="28"/>
          <w:szCs w:val="28"/>
          <w:lang w:val="en-US" w:eastAsia="zh-CN"/>
        </w:rPr>
        <w:t>或访问公积金中心网站：http://gjj.liaocheng.gov.cn/。</w:t>
      </w:r>
      <w:r>
        <w:rPr>
          <w:rFonts w:hint="eastAsia" w:ascii="仿宋" w:hAnsi="仿宋" w:eastAsia="仿宋" w:cs="仿宋"/>
          <w:sz w:val="28"/>
          <w:szCs w:val="28"/>
        </w:rPr>
        <w:t>业务办理地址：聊城市利民西路19号住房公积金大厅。</w:t>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其他相关事宜学校</w:t>
      </w:r>
      <w:r>
        <w:rPr>
          <w:rFonts w:hint="eastAsia" w:ascii="仿宋" w:hAnsi="仿宋" w:eastAsia="仿宋" w:cs="仿宋"/>
          <w:sz w:val="28"/>
          <w:szCs w:val="28"/>
        </w:rPr>
        <w:t>咨询电话：8239554。</w:t>
      </w:r>
    </w:p>
    <w:p>
      <w:pPr>
        <w:pStyle w:val="2"/>
        <w:bidi w:val="0"/>
        <w:rPr>
          <w:rFonts w:hint="eastAsia" w:ascii="仿宋" w:hAnsi="仿宋" w:eastAsia="仿宋" w:cs="仿宋"/>
          <w:sz w:val="28"/>
          <w:szCs w:val="28"/>
        </w:rPr>
      </w:pPr>
      <w:bookmarkStart w:id="261" w:name="_Toc8359"/>
      <w:bookmarkStart w:id="262" w:name="_Toc14003"/>
      <w:bookmarkStart w:id="263" w:name="_Toc8654"/>
      <w:bookmarkStart w:id="264" w:name="_Toc2286"/>
      <w:r>
        <w:rPr>
          <w:rFonts w:hint="eastAsia" w:ascii="仿宋" w:hAnsi="仿宋" w:eastAsia="仿宋" w:cs="仿宋"/>
        </w:rPr>
        <w:t>校园卡</w:t>
      </w:r>
      <w:r>
        <w:rPr>
          <w:rFonts w:hint="eastAsia" w:ascii="仿宋" w:hAnsi="仿宋" w:eastAsia="仿宋" w:cs="仿宋"/>
          <w:lang w:val="en-US" w:eastAsia="zh-CN"/>
        </w:rPr>
        <w:t>服务指南</w:t>
      </w:r>
      <w:bookmarkEnd w:id="261"/>
      <w:bookmarkEnd w:id="262"/>
      <w:bookmarkEnd w:id="263"/>
      <w:bookmarkEnd w:id="264"/>
    </w:p>
    <w:p>
      <w:pPr>
        <w:pStyle w:val="3"/>
        <w:bidi w:val="0"/>
        <w:rPr>
          <w:rFonts w:hint="eastAsia" w:ascii="仿宋" w:hAnsi="仿宋" w:eastAsia="仿宋" w:cs="仿宋"/>
          <w:lang w:val="en-US" w:eastAsia="zh-CN"/>
        </w:rPr>
      </w:pPr>
      <w:bookmarkStart w:id="265" w:name="_Toc22092"/>
      <w:bookmarkStart w:id="266" w:name="_Toc23732"/>
      <w:bookmarkStart w:id="267" w:name="_Toc31657"/>
      <w:bookmarkStart w:id="268" w:name="_Toc9084"/>
      <w:r>
        <w:rPr>
          <w:rFonts w:hint="eastAsia" w:ascii="仿宋" w:hAnsi="仿宋" w:eastAsia="仿宋" w:cs="仿宋"/>
        </w:rPr>
        <w:t>校园卡办理</w:t>
      </w:r>
      <w:r>
        <w:rPr>
          <w:rFonts w:hint="eastAsia" w:ascii="仿宋" w:hAnsi="仿宋" w:eastAsia="仿宋" w:cs="仿宋"/>
          <w:lang w:val="en-US" w:eastAsia="zh-CN"/>
        </w:rPr>
        <w:t>方式</w:t>
      </w:r>
      <w:bookmarkEnd w:id="265"/>
      <w:bookmarkEnd w:id="266"/>
      <w:bookmarkEnd w:id="267"/>
      <w:bookmarkEnd w:id="268"/>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一是首次开卡本人持有效证件到校园卡管理中心（东校区大学生服务中心一楼大厅东首）办理，首张免费；</w:t>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二是再次补卡本人可到校园卡自助补助机（东校区大学生服务中心一楼大厅）自助办理（挂失满24小时且原卡余额不低于10元）或到校园卡管理中心办理。</w:t>
      </w:r>
    </w:p>
    <w:p>
      <w:pPr>
        <w:pStyle w:val="3"/>
        <w:bidi w:val="0"/>
        <w:rPr>
          <w:rFonts w:hint="eastAsia" w:ascii="仿宋" w:hAnsi="仿宋" w:eastAsia="仿宋" w:cs="仿宋"/>
          <w:lang w:val="en-US" w:eastAsia="zh-CN"/>
        </w:rPr>
      </w:pPr>
      <w:bookmarkStart w:id="269" w:name="_Toc6219"/>
      <w:bookmarkStart w:id="270" w:name="_Toc21418"/>
      <w:bookmarkStart w:id="271" w:name="_Toc28228"/>
      <w:bookmarkStart w:id="272" w:name="_Toc6565"/>
      <w:r>
        <w:rPr>
          <w:rFonts w:hint="eastAsia" w:ascii="仿宋" w:hAnsi="仿宋" w:eastAsia="仿宋" w:cs="仿宋"/>
        </w:rPr>
        <w:t>校园卡充值</w:t>
      </w:r>
      <w:r>
        <w:rPr>
          <w:rFonts w:hint="eastAsia" w:ascii="仿宋" w:hAnsi="仿宋" w:eastAsia="仿宋" w:cs="仿宋"/>
          <w:lang w:val="en-US" w:eastAsia="zh-CN"/>
        </w:rPr>
        <w:t>方式</w:t>
      </w:r>
      <w:bookmarkEnd w:id="269"/>
      <w:bookmarkEnd w:id="270"/>
      <w:bookmarkEnd w:id="271"/>
      <w:bookmarkEnd w:id="272"/>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一是扫码下载“聊大微校APP”充值；</w:t>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二是登录农行手机银行→生活缴费→更多→教育培训（校园卡）→聊城大学校园卡充值；</w:t>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三是校内圈存一体机(东校区博苑餐厅西邻、东校区大学生服务中心一楼大厅、西校区雅苑餐厅南邻)充值。</w:t>
      </w:r>
    </w:p>
    <w:p>
      <w:pPr>
        <w:pStyle w:val="22"/>
        <w:ind w:firstLine="420" w:firstLineChars="200"/>
        <w:jc w:val="center"/>
        <w:rPr>
          <w:rFonts w:hint="eastAsia" w:ascii="仿宋" w:hAnsi="仿宋" w:eastAsia="仿宋" w:cs="仿宋"/>
          <w:sz w:val="28"/>
          <w:szCs w:val="28"/>
        </w:rPr>
      </w:pPr>
      <w:r>
        <w:rPr>
          <w:rFonts w:hint="eastAsia" w:ascii="仿宋" w:hAnsi="仿宋" w:eastAsia="仿宋" w:cs="仿宋"/>
        </w:rPr>
        <w:drawing>
          <wp:inline distT="0" distB="0" distL="0" distR="0">
            <wp:extent cx="784225" cy="861060"/>
            <wp:effectExtent l="0" t="0" r="0" b="0"/>
            <wp:docPr id="2" name="图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像2"/>
                    <pic:cNvPicPr>
                      <a:picLocks noChangeAspect="1" noChangeArrowheads="1"/>
                    </pic:cNvPicPr>
                  </pic:nvPicPr>
                  <pic:blipFill>
                    <a:blip r:embed="rId7"/>
                    <a:stretch>
                      <a:fillRect/>
                    </a:stretch>
                  </pic:blipFill>
                  <pic:spPr>
                    <a:xfrm>
                      <a:off x="0" y="0"/>
                      <a:ext cx="784225" cy="861060"/>
                    </a:xfrm>
                    <a:prstGeom prst="rect">
                      <a:avLst/>
                    </a:prstGeom>
                  </pic:spPr>
                </pic:pic>
              </a:graphicData>
            </a:graphic>
          </wp:inline>
        </w:drawing>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聊大微校APP二维码</w:t>
      </w:r>
    </w:p>
    <w:p>
      <w:pPr>
        <w:pStyle w:val="22"/>
        <w:ind w:firstLine="480" w:firstLineChars="200"/>
        <w:rPr>
          <w:rFonts w:hint="eastAsia" w:ascii="仿宋" w:hAnsi="仿宋" w:eastAsia="仿宋" w:cs="仿宋"/>
          <w:i w:val="0"/>
          <w:iCs w:val="0"/>
          <w:sz w:val="28"/>
          <w:szCs w:val="28"/>
        </w:rPr>
      </w:pPr>
      <w:r>
        <w:rPr>
          <w:rFonts w:hint="eastAsia" w:ascii="仿宋" w:hAnsi="仿宋" w:eastAsia="仿宋" w:cs="仿宋"/>
          <w:i w:val="0"/>
          <w:iCs w:val="0"/>
          <w:sz w:val="24"/>
          <w:szCs w:val="24"/>
        </w:rPr>
        <w:t>温馨提示：使用聊大微校APP和农行手机银行充值后，需持卡到黄色补助机（各食堂出入口、圈存一体机旁、东校区大学生服务中心一楼大厅）或圈存一体机领取充值款再消费。每次充值建议不超300元。详细充值说明可访问“聊大财务”公众号→通知公告→校园卡充值方式查看。</w:t>
      </w:r>
    </w:p>
    <w:p>
      <w:pPr>
        <w:pStyle w:val="3"/>
        <w:bidi w:val="0"/>
        <w:rPr>
          <w:rFonts w:hint="eastAsia" w:ascii="仿宋" w:hAnsi="仿宋" w:eastAsia="仿宋" w:cs="仿宋"/>
          <w:lang w:val="en-US" w:eastAsia="zh-CN"/>
        </w:rPr>
      </w:pPr>
      <w:bookmarkStart w:id="273" w:name="_Toc7143"/>
      <w:bookmarkStart w:id="274" w:name="_Toc9211"/>
      <w:bookmarkStart w:id="275" w:name="_Toc26367"/>
      <w:bookmarkStart w:id="276" w:name="_Toc15650"/>
      <w:r>
        <w:rPr>
          <w:rFonts w:hint="eastAsia" w:ascii="仿宋" w:hAnsi="仿宋" w:eastAsia="仿宋" w:cs="仿宋"/>
        </w:rPr>
        <w:t>校园卡挂失、解挂、余额查询</w:t>
      </w:r>
      <w:r>
        <w:rPr>
          <w:rFonts w:hint="eastAsia" w:ascii="仿宋" w:hAnsi="仿宋" w:eastAsia="仿宋" w:cs="仿宋"/>
          <w:lang w:val="en-US" w:eastAsia="zh-CN"/>
        </w:rPr>
        <w:t>方式</w:t>
      </w:r>
      <w:bookmarkEnd w:id="273"/>
      <w:bookmarkEnd w:id="274"/>
      <w:bookmarkEnd w:id="275"/>
      <w:bookmarkEnd w:id="276"/>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val="en-US" w:eastAsia="zh-CN"/>
        </w:rPr>
        <w:t>是</w:t>
      </w:r>
      <w:r>
        <w:rPr>
          <w:rFonts w:hint="eastAsia" w:ascii="仿宋" w:hAnsi="仿宋" w:eastAsia="仿宋" w:cs="仿宋"/>
          <w:sz w:val="28"/>
          <w:szCs w:val="28"/>
        </w:rPr>
        <w:t>拨打自助语音服务电话0635---8239881；</w:t>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en-US" w:eastAsia="zh-CN"/>
        </w:rPr>
        <w:t>是</w:t>
      </w:r>
      <w:r>
        <w:rPr>
          <w:rFonts w:hint="eastAsia" w:ascii="仿宋" w:hAnsi="仿宋" w:eastAsia="仿宋" w:cs="仿宋"/>
          <w:sz w:val="28"/>
          <w:szCs w:val="28"/>
        </w:rPr>
        <w:t>登录“聊大微校APP”办理；三是通过校内圈存一体机办理。</w:t>
      </w:r>
    </w:p>
    <w:p>
      <w:pPr>
        <w:pStyle w:val="22"/>
        <w:ind w:firstLine="480" w:firstLineChars="200"/>
        <w:rPr>
          <w:rFonts w:hint="eastAsia" w:ascii="仿宋" w:hAnsi="仿宋" w:eastAsia="仿宋" w:cs="仿宋"/>
          <w:i w:val="0"/>
          <w:iCs w:val="0"/>
          <w:sz w:val="28"/>
          <w:szCs w:val="28"/>
        </w:rPr>
      </w:pPr>
      <w:r>
        <w:rPr>
          <w:rFonts w:hint="eastAsia" w:ascii="仿宋" w:hAnsi="仿宋" w:eastAsia="仿宋" w:cs="仿宋"/>
          <w:i w:val="0"/>
          <w:iCs w:val="0"/>
          <w:sz w:val="24"/>
          <w:szCs w:val="24"/>
        </w:rPr>
        <w:t>温馨提示：学生校园卡初始密码：2018级及以前为学号后6位，2019级及以后为身份证号后6位，X用0代替。</w:t>
      </w:r>
    </w:p>
    <w:p>
      <w:pPr>
        <w:pStyle w:val="2"/>
        <w:bidi w:val="0"/>
        <w:rPr>
          <w:rFonts w:hint="eastAsia" w:ascii="仿宋" w:hAnsi="仿宋" w:eastAsia="仿宋" w:cs="仿宋"/>
          <w:sz w:val="28"/>
          <w:szCs w:val="28"/>
        </w:rPr>
      </w:pPr>
      <w:bookmarkStart w:id="277" w:name="_Toc3094"/>
      <w:bookmarkStart w:id="278" w:name="_Toc7471"/>
      <w:bookmarkStart w:id="279" w:name="_Toc25420"/>
      <w:bookmarkStart w:id="280" w:name="_Toc26141"/>
      <w:r>
        <w:rPr>
          <w:rFonts w:hint="eastAsia" w:ascii="仿宋" w:hAnsi="仿宋" w:eastAsia="仿宋" w:cs="仿宋"/>
        </w:rPr>
        <w:t>收费</w:t>
      </w:r>
      <w:r>
        <w:rPr>
          <w:rFonts w:hint="eastAsia" w:ascii="仿宋" w:hAnsi="仿宋" w:eastAsia="仿宋" w:cs="仿宋"/>
          <w:lang w:val="en-US" w:eastAsia="zh-CN"/>
        </w:rPr>
        <w:t>服务指南</w:t>
      </w:r>
      <w:bookmarkEnd w:id="277"/>
      <w:bookmarkEnd w:id="278"/>
      <w:bookmarkEnd w:id="279"/>
      <w:bookmarkEnd w:id="280"/>
    </w:p>
    <w:p>
      <w:pPr>
        <w:pStyle w:val="3"/>
        <w:bidi w:val="0"/>
        <w:rPr>
          <w:rFonts w:hint="eastAsia" w:ascii="仿宋" w:hAnsi="仿宋" w:eastAsia="仿宋" w:cs="仿宋"/>
          <w:lang w:val="en-US" w:eastAsia="zh-CN"/>
        </w:rPr>
      </w:pPr>
      <w:bookmarkStart w:id="281" w:name="_Toc15208"/>
      <w:bookmarkStart w:id="282" w:name="_Toc7795"/>
      <w:bookmarkStart w:id="283" w:name="_Toc10442"/>
      <w:bookmarkStart w:id="284" w:name="_Toc2481"/>
      <w:r>
        <w:rPr>
          <w:rFonts w:hint="eastAsia" w:ascii="仿宋" w:hAnsi="仿宋" w:eastAsia="仿宋" w:cs="仿宋"/>
        </w:rPr>
        <w:t>学生缴费</w:t>
      </w:r>
      <w:r>
        <w:rPr>
          <w:rFonts w:hint="eastAsia" w:ascii="仿宋" w:hAnsi="仿宋" w:eastAsia="仿宋" w:cs="仿宋"/>
          <w:lang w:val="en-US" w:eastAsia="zh-CN"/>
        </w:rPr>
        <w:t>登录方式</w:t>
      </w:r>
      <w:bookmarkEnd w:id="281"/>
      <w:bookmarkEnd w:id="282"/>
      <w:bookmarkEnd w:id="283"/>
      <w:bookmarkEnd w:id="284"/>
    </w:p>
    <w:p>
      <w:pPr>
        <w:pStyle w:val="22"/>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在校生（包括研究生、函授生）缴费通过登录“聊城大学校园统一支付平台”进行缴纳</w:t>
      </w:r>
      <w:r>
        <w:rPr>
          <w:rFonts w:hint="eastAsia" w:ascii="仿宋" w:hAnsi="仿宋" w:eastAsia="仿宋" w:cs="仿宋"/>
          <w:sz w:val="28"/>
          <w:szCs w:val="28"/>
          <w:lang w:eastAsia="zh-CN"/>
        </w:rPr>
        <w:t>。</w:t>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一是关注“聊大财务”微信公众号→业务办理→学生缴费；</w:t>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二是扫码登录；三是通过“聊大易班系统”登录。</w:t>
      </w:r>
    </w:p>
    <w:p>
      <w:pPr>
        <w:pStyle w:val="22"/>
        <w:ind w:firstLine="420" w:firstLineChars="200"/>
        <w:jc w:val="center"/>
        <w:rPr>
          <w:rFonts w:hint="eastAsia" w:ascii="仿宋" w:hAnsi="仿宋" w:eastAsia="仿宋" w:cs="仿宋"/>
          <w:sz w:val="28"/>
          <w:szCs w:val="28"/>
        </w:rPr>
      </w:pPr>
      <w:r>
        <w:rPr>
          <w:rFonts w:hint="eastAsia" w:ascii="仿宋" w:hAnsi="仿宋" w:eastAsia="仿宋" w:cs="仿宋"/>
        </w:rPr>
        <w:drawing>
          <wp:inline distT="0" distB="0" distL="0" distR="0">
            <wp:extent cx="1008380" cy="985520"/>
            <wp:effectExtent l="0" t="0" r="0" b="0"/>
            <wp:docPr id="3" name="图片 2" descr="http://ecw.lcu.edu.cn/xysf/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http://ecw.lcu.edu.cn/xysf/qr.png"/>
                    <pic:cNvPicPr>
                      <a:picLocks noChangeAspect="1" noChangeArrowheads="1"/>
                    </pic:cNvPicPr>
                  </pic:nvPicPr>
                  <pic:blipFill>
                    <a:blip r:embed="rId8"/>
                    <a:stretch>
                      <a:fillRect/>
                    </a:stretch>
                  </pic:blipFill>
                  <pic:spPr>
                    <a:xfrm>
                      <a:off x="0" y="0"/>
                      <a:ext cx="1008380" cy="985520"/>
                    </a:xfrm>
                    <a:prstGeom prst="rect">
                      <a:avLst/>
                    </a:prstGeom>
                  </pic:spPr>
                </pic:pic>
              </a:graphicData>
            </a:graphic>
          </wp:inline>
        </w:drawing>
      </w:r>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auto"/>
          <w:kern w:val="2"/>
          <w:sz w:val="28"/>
          <w:szCs w:val="28"/>
          <w:lang w:val="en-US" w:eastAsia="zh-CN" w:bidi="ar-SA"/>
        </w:rPr>
        <w:t>校园统一支付平台二维码</w:t>
      </w:r>
    </w:p>
    <w:p>
      <w:pPr>
        <w:pStyle w:val="3"/>
        <w:bidi w:val="0"/>
        <w:rPr>
          <w:rFonts w:hint="eastAsia" w:ascii="仿宋" w:hAnsi="仿宋" w:eastAsia="仿宋" w:cs="仿宋"/>
        </w:rPr>
      </w:pPr>
      <w:bookmarkStart w:id="285" w:name="_Toc5978"/>
      <w:bookmarkStart w:id="286" w:name="_Toc12974"/>
      <w:bookmarkStart w:id="287" w:name="_Toc20224"/>
      <w:bookmarkStart w:id="288" w:name="_Toc11358"/>
      <w:r>
        <w:rPr>
          <w:rFonts w:hint="eastAsia" w:ascii="仿宋" w:hAnsi="仿宋" w:eastAsia="仿宋" w:cs="仿宋"/>
        </w:rPr>
        <w:t>其他收费</w:t>
      </w:r>
      <w:bookmarkEnd w:id="285"/>
      <w:bookmarkEnd w:id="286"/>
      <w:bookmarkEnd w:id="287"/>
      <w:bookmarkEnd w:id="288"/>
    </w:p>
    <w:p>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除代收费具备条件由供应商直接收取外，校内单位其他收费应</w:t>
      </w:r>
      <w:r>
        <w:rPr>
          <w:rFonts w:hint="eastAsia" w:ascii="仿宋" w:hAnsi="仿宋" w:eastAsia="仿宋" w:cs="仿宋"/>
          <w:sz w:val="28"/>
          <w:szCs w:val="28"/>
          <w:lang w:val="en-US" w:eastAsia="zh-CN"/>
        </w:rPr>
        <w:t>按规定项目、标准和范围</w:t>
      </w:r>
      <w:r>
        <w:rPr>
          <w:rFonts w:hint="eastAsia" w:ascii="仿宋" w:hAnsi="仿宋" w:eastAsia="仿宋" w:cs="仿宋"/>
          <w:sz w:val="28"/>
          <w:szCs w:val="28"/>
        </w:rPr>
        <w:t>，经审核同意后</w:t>
      </w:r>
      <w:r>
        <w:rPr>
          <w:rFonts w:hint="eastAsia" w:ascii="仿宋" w:hAnsi="仿宋" w:eastAsia="仿宋" w:cs="仿宋"/>
          <w:sz w:val="28"/>
          <w:szCs w:val="28"/>
          <w:lang w:val="en-US" w:eastAsia="zh-CN"/>
        </w:rPr>
        <w:t>由</w:t>
      </w:r>
      <w:r>
        <w:rPr>
          <w:rFonts w:hint="eastAsia" w:ascii="仿宋" w:hAnsi="仿宋" w:eastAsia="仿宋" w:cs="仿宋"/>
          <w:sz w:val="28"/>
          <w:szCs w:val="28"/>
        </w:rPr>
        <w:t>收费科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东校区大学生服务中心一楼东首，联系电话：8239089</w:t>
      </w:r>
      <w:r>
        <w:rPr>
          <w:rFonts w:hint="eastAsia" w:ascii="仿宋" w:hAnsi="仿宋" w:eastAsia="仿宋" w:cs="仿宋"/>
          <w:sz w:val="28"/>
          <w:szCs w:val="28"/>
          <w:lang w:eastAsia="zh-CN"/>
        </w:rPr>
        <w:t>）</w:t>
      </w:r>
      <w:r>
        <w:rPr>
          <w:rFonts w:hint="eastAsia" w:ascii="仿宋" w:hAnsi="仿宋" w:eastAsia="仿宋" w:cs="仿宋"/>
          <w:sz w:val="28"/>
          <w:szCs w:val="28"/>
        </w:rPr>
        <w:t>提供收取方式，收取款项全部纳入学校账户核算管理。</w:t>
      </w:r>
    </w:p>
    <w:sectPr>
      <w:footerReference r:id="rId4" w:type="default"/>
      <w:pgSz w:w="11906" w:h="16838"/>
      <w:pgMar w:top="1440" w:right="1800" w:bottom="1440" w:left="1800" w:header="0" w:footer="0" w:gutter="0"/>
      <w:pgNumType w:fmt="decimal" w:start="1"/>
      <w:cols w:space="720" w:num="1"/>
      <w:formProt w:val="0"/>
      <w:docGrid w:type="lines" w:linePitch="312" w:charSpace="337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803F06"/>
    <w:multiLevelType w:val="multilevel"/>
    <w:tmpl w:val="D9803F06"/>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C81AD1"/>
    <w:rsid w:val="02762BAD"/>
    <w:rsid w:val="03A318C0"/>
    <w:rsid w:val="03C767FF"/>
    <w:rsid w:val="04AB0670"/>
    <w:rsid w:val="067F6D9F"/>
    <w:rsid w:val="086913F4"/>
    <w:rsid w:val="092B7944"/>
    <w:rsid w:val="09E27C56"/>
    <w:rsid w:val="0A8722FC"/>
    <w:rsid w:val="0B420243"/>
    <w:rsid w:val="0B994B4D"/>
    <w:rsid w:val="0BEA6AB1"/>
    <w:rsid w:val="0CE32051"/>
    <w:rsid w:val="0DD92EC5"/>
    <w:rsid w:val="0DF83908"/>
    <w:rsid w:val="0E5B57D4"/>
    <w:rsid w:val="0F914CA7"/>
    <w:rsid w:val="10C72A1D"/>
    <w:rsid w:val="14636FE0"/>
    <w:rsid w:val="146C5CA3"/>
    <w:rsid w:val="14AD7A63"/>
    <w:rsid w:val="181C5692"/>
    <w:rsid w:val="1AB60296"/>
    <w:rsid w:val="1BFA70F5"/>
    <w:rsid w:val="1FBF0D28"/>
    <w:rsid w:val="1FCF27E8"/>
    <w:rsid w:val="20286244"/>
    <w:rsid w:val="22741FB4"/>
    <w:rsid w:val="23BE0BB3"/>
    <w:rsid w:val="272D60DF"/>
    <w:rsid w:val="279F1397"/>
    <w:rsid w:val="288C2093"/>
    <w:rsid w:val="29D3510E"/>
    <w:rsid w:val="29EE354B"/>
    <w:rsid w:val="2B3A7E4A"/>
    <w:rsid w:val="2D243430"/>
    <w:rsid w:val="2D676166"/>
    <w:rsid w:val="2DA3675B"/>
    <w:rsid w:val="2E372CC6"/>
    <w:rsid w:val="31B61C8A"/>
    <w:rsid w:val="322B2268"/>
    <w:rsid w:val="33E033FA"/>
    <w:rsid w:val="33E12949"/>
    <w:rsid w:val="352A422F"/>
    <w:rsid w:val="35606CB7"/>
    <w:rsid w:val="36D738C7"/>
    <w:rsid w:val="37CB685C"/>
    <w:rsid w:val="380E7825"/>
    <w:rsid w:val="3B8D2649"/>
    <w:rsid w:val="3BB577B0"/>
    <w:rsid w:val="3BE61F21"/>
    <w:rsid w:val="3D067C45"/>
    <w:rsid w:val="3D2F6C6F"/>
    <w:rsid w:val="3DE05819"/>
    <w:rsid w:val="3E4C3698"/>
    <w:rsid w:val="3EE21AF7"/>
    <w:rsid w:val="3F0D56B0"/>
    <w:rsid w:val="3FF37246"/>
    <w:rsid w:val="40270FA1"/>
    <w:rsid w:val="40362AE5"/>
    <w:rsid w:val="41A4082A"/>
    <w:rsid w:val="41CF2480"/>
    <w:rsid w:val="43590D81"/>
    <w:rsid w:val="4511552D"/>
    <w:rsid w:val="4592366B"/>
    <w:rsid w:val="48834A7A"/>
    <w:rsid w:val="4D194B45"/>
    <w:rsid w:val="4D1B0AB2"/>
    <w:rsid w:val="4DC06F00"/>
    <w:rsid w:val="4FC84C8D"/>
    <w:rsid w:val="4FEF1B7C"/>
    <w:rsid w:val="50284BE4"/>
    <w:rsid w:val="523718FB"/>
    <w:rsid w:val="52562508"/>
    <w:rsid w:val="531C6F96"/>
    <w:rsid w:val="539968EC"/>
    <w:rsid w:val="547D4FA5"/>
    <w:rsid w:val="54B71604"/>
    <w:rsid w:val="56916CFD"/>
    <w:rsid w:val="57C75993"/>
    <w:rsid w:val="57F47F57"/>
    <w:rsid w:val="5CA56D6C"/>
    <w:rsid w:val="5D926747"/>
    <w:rsid w:val="5DB32693"/>
    <w:rsid w:val="5E5E465A"/>
    <w:rsid w:val="5F0359E5"/>
    <w:rsid w:val="5FA257A7"/>
    <w:rsid w:val="61B14CB0"/>
    <w:rsid w:val="6451777D"/>
    <w:rsid w:val="65B22AFE"/>
    <w:rsid w:val="66782106"/>
    <w:rsid w:val="670D0719"/>
    <w:rsid w:val="685F3205"/>
    <w:rsid w:val="689A24E0"/>
    <w:rsid w:val="6AA5720B"/>
    <w:rsid w:val="6C7E226B"/>
    <w:rsid w:val="6DF26D39"/>
    <w:rsid w:val="6E0E3F5E"/>
    <w:rsid w:val="6E42611B"/>
    <w:rsid w:val="6F8E7F80"/>
    <w:rsid w:val="70A17A3B"/>
    <w:rsid w:val="720D2D18"/>
    <w:rsid w:val="72CB31C0"/>
    <w:rsid w:val="76E96253"/>
    <w:rsid w:val="778E478E"/>
    <w:rsid w:val="78744CB5"/>
    <w:rsid w:val="78A45DD6"/>
    <w:rsid w:val="792E2D28"/>
    <w:rsid w:val="7C0F5960"/>
    <w:rsid w:val="7D054C49"/>
    <w:rsid w:val="7F0F60CD"/>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hi-IN"/>
    </w:rPr>
  </w:style>
  <w:style w:type="paragraph" w:styleId="2">
    <w:name w:val="heading 1"/>
    <w:basedOn w:val="1"/>
    <w:next w:val="1"/>
    <w:qFormat/>
    <w:uiPriority w:val="9"/>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9"/>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semiHidden/>
    <w:unhideWhenUsed/>
    <w:qFormat/>
    <w:uiPriority w:val="39"/>
    <w:pPr>
      <w:ind w:left="840" w:leftChars="400"/>
    </w:pPr>
  </w:style>
  <w:style w:type="paragraph" w:styleId="12">
    <w:name w:val="footer"/>
    <w:basedOn w:val="1"/>
    <w:semiHidden/>
    <w:unhideWhenUsed/>
    <w:qFormat/>
    <w:uiPriority w:val="99"/>
    <w:pPr>
      <w:tabs>
        <w:tab w:val="center" w:pos="4153"/>
        <w:tab w:val="right" w:pos="8306"/>
      </w:tabs>
      <w:snapToGrid w:val="0"/>
      <w:jc w:val="left"/>
    </w:pPr>
    <w:rPr>
      <w:sz w:val="18"/>
    </w:rPr>
  </w:style>
  <w:style w:type="paragraph" w:styleId="1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semiHidden/>
    <w:unhideWhenUsed/>
    <w:qFormat/>
    <w:uiPriority w:val="39"/>
  </w:style>
  <w:style w:type="paragraph" w:styleId="15">
    <w:name w:val="toc 2"/>
    <w:basedOn w:val="1"/>
    <w:next w:val="1"/>
    <w:semiHidden/>
    <w:unhideWhenUsed/>
    <w:qFormat/>
    <w:uiPriority w:val="39"/>
    <w:pPr>
      <w:ind w:left="420" w:leftChars="20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semiHidden/>
    <w:unhideWhenUsed/>
    <w:qFormat/>
    <w:uiPriority w:val="99"/>
    <w:rPr>
      <w:color w:val="0000FF"/>
      <w:u w:val="single"/>
    </w:rPr>
  </w:style>
  <w:style w:type="character" w:customStyle="1" w:styleId="20">
    <w:name w:val="默认段落字体1"/>
    <w:qFormat/>
    <w:uiPriority w:val="0"/>
  </w:style>
  <w:style w:type="character" w:customStyle="1" w:styleId="21">
    <w:name w:val="Internet 链接"/>
    <w:basedOn w:val="20"/>
    <w:qFormat/>
    <w:uiPriority w:val="0"/>
    <w:rPr>
      <w:color w:val="0000FF"/>
      <w:u w:val="single"/>
    </w:rPr>
  </w:style>
  <w:style w:type="paragraph" w:customStyle="1" w:styleId="22">
    <w:name w:val="正文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2"/>
      <w:sz w:val="21"/>
      <w:szCs w:val="22"/>
      <w:lang w:val="en-US" w:eastAsia="zh-CN" w:bidi="ar-SA"/>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4097</Words>
  <Characters>4454</Characters>
  <Paragraphs>116</Paragraphs>
  <TotalTime>14</TotalTime>
  <ScaleCrop>false</ScaleCrop>
  <LinksUpToDate>false</LinksUpToDate>
  <CharactersWithSpaces>4616</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2021-08-25T03:19:00Z</dcterms:created>
  <dc:creator>administer</dc:creator>
  <cp:lastModifiedBy>相与</cp:lastModifiedBy>
  <cp:lastPrinted>2021-08-26T08:16:00Z</cp:lastPrinted>
  <dcterms:modified xsi:type="dcterms:W3CDTF">2021-10-08T05:59:08Z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E7FF547042A24124B1DB7F6BFA456553</vt:lpwstr>
  </property>
  <property fmtid="{D5CDD505-2E9C-101B-9397-08002B2CF9AE}" pid="3" name="KSOProductBuildVer">
    <vt:lpwstr>2052-11.1.0.10938</vt:lpwstr>
  </property>
</Properties>
</file>